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bookmarkStart w:id="1" w:name="_GoBack"/>
      <w:bookmarkEnd w:id="1"/>
      <w:r>
        <w:rPr>
          <w:rFonts w:hint="eastAsia" w:eastAsia="黑体"/>
          <w:sz w:val="28"/>
          <w:szCs w:val="28"/>
        </w:rPr>
        <w:t xml:space="preserve">附件6          </w:t>
      </w:r>
      <w:bookmarkStart w:id="0" w:name="图标"/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妇科</w:t>
      </w:r>
      <w:bookmarkEnd w:id="0"/>
      <w:r>
        <w:rPr>
          <w:rFonts w:hint="eastAsia" w:ascii="微软雅黑" w:hAnsi="微软雅黑" w:eastAsia="微软雅黑"/>
          <w:b/>
          <w:sz w:val="36"/>
          <w:szCs w:val="36"/>
        </w:rPr>
        <w:t>专科护士培训基地简介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4"/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4"/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一、基地简介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1.医院概况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成都市妇女儿童中心医院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妇科是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集医疗、急救、保健、科研、培训、教学、预防、科研于一体的是四川省甲级重点专科，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乙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级重点学科，国家药物临床试验机构（GCP）认证机构，四川省住院医师规范化培训基地，国家妇产科专科医师规范化培训基地。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中国妇幼保健协会妇科微创专业宫腹腔镜手术培训基地，中国医师协会妇产科分会妇科单孔腹腔镜手术技术协作组培训基地，全国卫生产业企业管理协会阴道内镜技术培训基地，宫颈病变与宫颈癌防治专项技术教学培训基地。妇科设妇科肿瘤、盆底障碍疾病、妇科微无创、普通妇科、宫颈疾病门诊、妇女保健、生殖中心、妇科介入治疗、计划生育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10个亚专业。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分为“中心”医院本部产科和市内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东城根街、实业街日间手术病区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分部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妇科三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个点，并实行同质化统一管理。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妇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科概况</w:t>
      </w:r>
    </w:p>
    <w:p>
      <w:pPr>
        <w:numPr>
          <w:ilvl w:val="0"/>
          <w:numId w:val="0"/>
        </w:numPr>
        <w:spacing w:line="240" w:lineRule="auto"/>
        <w:ind w:leftChars="0" w:firstLine="480" w:firstLineChars="20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妇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科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目前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开放床位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204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张，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  <w:lang w:bidi="ar"/>
        </w:rPr>
        <w:t>年平均门诊量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  <w:lang w:val="en-US" w:eastAsia="zh-CN" w:bidi="ar"/>
        </w:rPr>
        <w:t>36.1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  <w:lang w:bidi="ar"/>
        </w:rPr>
        <w:t>万人次/年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，住院人次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11361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人次/年，年均手术量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7742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台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（包括治疗操作台次则为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15489台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）。共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有医师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51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人，护理人员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75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人。其中有主任医师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人，副主任医师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人，主治医师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人，博士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人，硕士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36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；主任护师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人，副主任护师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7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人，护理硕士研究生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3人，本科50人。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学科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临床技术项目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：以宫腹腔镜技术为基础，广泛开展妇科肿瘤微创手术、经脐单孔，经阴道内镜为特色的微无创手术、技术达国内领先水平。建立中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-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德非脱垂阴式子宫切除术标准化操作流程，深入开展盆腔脏器脱垂及妇科泌尿功能障碍修补重建手术。开设日间手术病房，极大的优化了患者的就诊流程及治疗质量，缩短患者就医时间。率先开展腹腔热灌注化疗，显著改善中晚期妇科恶性肿瘤的治疗结局。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主要特色技术有：单孔、多孔腹腔镜及经阴道腹腔镜（VNOTES）下完成各种妇科良性疾病及恶性肿瘤手术（子宫肌瘤、子宫腺肌症、卵巢囊肿、异位妊娠、不孕、宫颈机能不全、外阴癌、宫颈癌、子宫内膜癌、卵巢癌、滋养细胞肿瘤等），宫腔镜手术（子宫内膜息肉、子宫黏膜下肌瘤、宫腔粘连、切口妊娠、切口憩室、子宫中膈等），经阴道及经腹腔镜下盆底重建术治疗子宫脱垂及尿失禁，阴式非脱垂子宫切除，恶性肿瘤的综合治疗（化疗和热灌注治疗），HIFU技术，子宫动脉栓塞介入治疗等。年诊治疑难危重病例占比达30%。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目前有国家级学术委员任职26个、省级学术委员会任职43个，近3年承担国家级科研项目3项，省级科研项目7项，市级科研项目3项。国际医疗合作项目一项、多次举办全国及省级学术会议、发表论文百余篇，其中SCI 20余篇。公派多名医护人员赴美国、德国、英国、意大利、法国等访问学习。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4"/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二、培训特色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培训采用理论与临床实践相结合的形式，理论学习实践1个月，临床实践2个月。理论授课老师为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具有较强专科业务能力和教学能力的主管护师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以上职称护士担任，临床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操作技能示范由具有丰富临床经验的专业组长担任，实行导师负责制。妇科专科护士组织管理小组运用DMAIC管理模式持续改进教学流程，在培训前、中、后进行调查，找到妇科专科护士培训中需要改进的问题，再确定期望达到的目标。实时进行质量控制以维持改进效果，在培训的教学重点、教学方式、临床操作带教、特殊病例的护理重点难点分析、护理科研等方面进行持续改进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每届学员开班后会有1-2名教学助理，协助管理班级日常事务，沟通协调学员的需求及关注学员学习进展。</w:t>
      </w:r>
      <w:r>
        <w:rPr>
          <w:rFonts w:hint="eastAsia" w:ascii="微软雅黑" w:hAnsi="微软雅黑" w:eastAsia="微软雅黑"/>
          <w:sz w:val="24"/>
          <w:lang w:eastAsia="zh-CN"/>
        </w:rPr>
        <w:t>妇科</w:t>
      </w:r>
      <w:r>
        <w:rPr>
          <w:rFonts w:hint="eastAsia" w:ascii="微软雅黑" w:hAnsi="微软雅黑" w:eastAsia="微软雅黑"/>
          <w:sz w:val="24"/>
        </w:rPr>
        <w:t>专科护士培训</w:t>
      </w:r>
      <w:r>
        <w:rPr>
          <w:rFonts w:hint="eastAsia" w:ascii="微软雅黑" w:hAnsi="微软雅黑" w:eastAsia="微软雅黑"/>
          <w:sz w:val="24"/>
          <w:lang w:eastAsia="zh-CN"/>
        </w:rPr>
        <w:t>旨在培养具有扎实妇科专科理论基础和理论知识、熟练掌握专科护理技能的临床实用型妇科专科护士，培养具备一定教学指导能力及健康咨询能力的综合型妇科专科护士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jc w:val="left"/>
        <w:rPr>
          <w:rStyle w:val="4"/>
          <w:rFonts w:hint="eastAsia" w:ascii="微软雅黑" w:hAnsi="微软雅黑" w:eastAsia="微软雅黑" w:cs="微软雅黑"/>
          <w:bCs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hd w:val="clear" w:color="auto" w:fill="FFFFFF"/>
          <w:lang w:bidi="ar"/>
        </w:rPr>
        <w:t>三</w:t>
      </w:r>
      <w:r>
        <w:rPr>
          <w:rStyle w:val="4"/>
          <w:rFonts w:hint="eastAsia" w:ascii="微软雅黑" w:hAnsi="微软雅黑" w:eastAsia="微软雅黑" w:cs="微软雅黑"/>
          <w:bCs/>
          <w:color w:val="333333"/>
          <w:kern w:val="0"/>
          <w:sz w:val="24"/>
          <w:shd w:val="clear" w:color="auto" w:fill="FFFFFF"/>
          <w:lang w:bidi="ar"/>
        </w:rPr>
        <w:t>、招生咨询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联系人：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刘老师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 xml:space="preserve">  田老师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联系电话：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18380373836  18030618180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                                       成都市妇女儿童中心医院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妇科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专科基地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                                             202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6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20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日</w:t>
      </w:r>
    </w:p>
    <w:p/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</w:p>
    <w:p/>
    <w:sectPr>
      <w:pgSz w:w="11906" w:h="16838"/>
      <w:pgMar w:top="1157" w:right="1576" w:bottom="1157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5F5A9"/>
    <w:multiLevelType w:val="singleLevel"/>
    <w:tmpl w:val="8345F5A9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zRiYzVjNmFmMWE1YzU2NGJkZDI2MjRhMGM5N2EifQ=="/>
  </w:docVars>
  <w:rsids>
    <w:rsidRoot w:val="00000000"/>
    <w:rsid w:val="06763B08"/>
    <w:rsid w:val="3C132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1517</Characters>
  <Lines>0</Lines>
  <Paragraphs>0</Paragraphs>
  <TotalTime>0</TotalTime>
  <ScaleCrop>false</ScaleCrop>
  <LinksUpToDate>false</LinksUpToDate>
  <CharactersWithSpaces>1623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2022-07-04T06:16:23Z</dcterms:created>
  <dc:creator>Administrator</dc:creator>
  <cp:lastModifiedBy>Administrator</cp:lastModifiedBy>
  <dcterms:modified xsi:type="dcterms:W3CDTF">2022-07-04T06:18:24Z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0C7980E9F7ED4ECBA5709D39EEEA88CD</vt:lpwstr>
  </property>
</Properties>
</file>