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仿宋" w:cs="仿宋" w:eastAsia="仿宋" w:hAnsi="仿宋" w:hint="eastAsia"/>
          <w:b/>
          <w:bCs/>
          <w:sz w:val="28"/>
          <w:szCs w:val="28"/>
        </w:rPr>
      </w:pPr>
      <w:r>
        <w:rPr>
          <w:rFonts w:ascii="Arial" w:cs="Arial" w:eastAsia="华文仿宋" w:hAnsi="Arial" w:hint="eastAsia"/>
          <w:b/>
          <w:bCs/>
          <w:sz w:val="22"/>
          <w:szCs w:val="22"/>
          <w:lang w:val="en-US" w:eastAsia="zh-CN"/>
        </w:rPr>
        <w:t>UpToDate临床顾问</w:t>
      </w:r>
    </w:p>
    <w:tbl>
      <w:tblPr>
        <w:tblStyle w:val="style105"/>
        <w:tblW w:w="4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6616"/>
      </w:tblGrid>
      <w:tr>
        <w:trPr>
          <w:trHeight w:val="352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b/>
                <w:szCs w:val="21"/>
              </w:rPr>
            </w:pPr>
          </w:p>
          <w:p>
            <w:pPr>
              <w:pStyle w:val="style157"/>
              <w:jc w:val="center"/>
              <w:rPr>
                <w:rFonts w:ascii="Arial" w:cs="Arial" w:eastAsia="华文仿宋" w:hAnsi="Arial" w:hint="eastAsia"/>
                <w:b/>
                <w:szCs w:val="21"/>
              </w:rPr>
            </w:pP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jc w:val="both"/>
              <w:rPr>
                <w:rFonts w:ascii="Arial" w:cs="Arial" w:eastAsia="华文仿宋" w:hAnsi="Arial" w:hint="eastAsia"/>
                <w:b/>
                <w:szCs w:val="21"/>
                <w:lang w:val="en-US" w:eastAsia="zh-CN"/>
              </w:rPr>
            </w:pPr>
            <w:r>
              <w:rPr>
                <w:rFonts w:ascii="Arial" w:cs="Arial" w:eastAsia="华文仿宋" w:hAnsi="Arial" w:hint="eastAsia"/>
                <w:b/>
                <w:szCs w:val="21"/>
                <w:lang w:val="en-US" w:eastAsia="zh-CN"/>
              </w:rPr>
              <w:t>产品参数</w:t>
            </w:r>
          </w:p>
        </w:tc>
      </w:tr>
      <w:tr>
        <w:tblPrEx/>
        <w:trPr>
          <w:trHeight w:val="484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1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 w:hint="eastAsia"/>
                <w:szCs w:val="21"/>
                <w:lang w:val="en-US" w:eastAsia="zh-CN"/>
              </w:rPr>
            </w:pP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支持</w:t>
            </w:r>
            <w:r>
              <w:rPr>
                <w:rFonts w:ascii="Arial" w:cs="Arial" w:eastAsia="华文仿宋" w:hAnsi="Arial" w:hint="eastAsia"/>
                <w:szCs w:val="21"/>
              </w:rPr>
              <w:t>中英文双语言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的</w:t>
            </w:r>
            <w:r>
              <w:rPr>
                <w:rFonts w:ascii="Arial" w:cs="Arial" w:eastAsia="华文仿宋" w:hAnsi="Arial" w:hint="eastAsia"/>
                <w:szCs w:val="21"/>
              </w:rPr>
              <w:t>循证医学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临床决策支持系统</w:t>
            </w:r>
          </w:p>
        </w:tc>
      </w:tr>
      <w:tr>
        <w:tblPrEx/>
        <w:trPr>
          <w:trHeight w:val="704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2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 w:hint="eastAsia"/>
                <w:szCs w:val="21"/>
                <w:lang w:eastAsia="zh-CN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临床专题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文章</w:t>
            </w:r>
            <w:r>
              <w:rPr>
                <w:rFonts w:ascii="Arial" w:cs="Arial" w:eastAsia="华文仿宋" w:hAnsi="Arial" w:hint="eastAsia"/>
                <w:szCs w:val="21"/>
              </w:rPr>
              <w:t>数量不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低于80</w:t>
            </w:r>
            <w:r>
              <w:rPr>
                <w:rFonts w:ascii="Arial" w:cs="Arial" w:eastAsia="华文仿宋" w:hAnsi="Arial" w:hint="eastAsia"/>
                <w:szCs w:val="21"/>
              </w:rPr>
              <w:t>00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篇</w:t>
            </w:r>
            <w:r>
              <w:rPr>
                <w:rFonts w:ascii="Arial" w:cs="Arial" w:eastAsia="华文仿宋" w:hAnsi="Arial" w:hint="eastAsia"/>
                <w:szCs w:val="21"/>
                <w:lang w:eastAsia="zh-CN"/>
              </w:rPr>
              <w:t>，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且</w:t>
            </w:r>
            <w:r>
              <w:rPr>
                <w:rFonts w:ascii="Arial" w:cs="Arial" w:eastAsia="华文仿宋" w:hAnsi="Arial" w:hint="eastAsia"/>
                <w:szCs w:val="21"/>
              </w:rPr>
              <w:t>已经翻译的中文专题文章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不少于6</w:t>
            </w:r>
            <w:r>
              <w:rPr>
                <w:rFonts w:ascii="Arial" w:cs="Arial" w:eastAsia="华文仿宋" w:hAnsi="Arial" w:hint="eastAsia"/>
                <w:szCs w:val="21"/>
              </w:rPr>
              <w:t>000篇</w:t>
            </w:r>
          </w:p>
        </w:tc>
      </w:tr>
      <w:tr>
        <w:tblPrEx/>
        <w:trPr>
          <w:trHeight w:val="90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3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临床专题</w:t>
            </w:r>
            <w:r>
              <w:rPr>
                <w:rFonts w:ascii="Arial" w:cs="Arial" w:eastAsia="华文仿宋" w:hAnsi="Arial" w:hint="eastAsia"/>
                <w:szCs w:val="21"/>
              </w:rPr>
              <w:t>撰写</w:t>
            </w:r>
            <w:r>
              <w:rPr>
                <w:rFonts w:ascii="Arial" w:cs="Arial" w:eastAsia="华文仿宋" w:hAnsi="Arial"/>
                <w:szCs w:val="21"/>
              </w:rPr>
              <w:t>遵循</w:t>
            </w:r>
            <w:r>
              <w:rPr>
                <w:rFonts w:ascii="Arial" w:cs="Arial" w:eastAsia="华文仿宋" w:hAnsi="Arial" w:hint="eastAsia"/>
                <w:szCs w:val="21"/>
              </w:rPr>
              <w:t>PICO原则</w:t>
            </w:r>
            <w:r>
              <w:rPr>
                <w:rFonts w:ascii="Arial" w:cs="Arial" w:eastAsia="华文仿宋" w:hAnsi="Arial"/>
                <w:szCs w:val="21"/>
              </w:rPr>
              <w:t>，并提供</w:t>
            </w:r>
            <w:r>
              <w:rPr>
                <w:rFonts w:ascii="Arial" w:cs="Arial" w:eastAsia="华文仿宋" w:hAnsi="Arial" w:hint="eastAsia"/>
                <w:szCs w:val="21"/>
              </w:rPr>
              <w:t>附有</w:t>
            </w:r>
            <w:r>
              <w:rPr>
                <w:rFonts w:ascii="Arial" w:cs="Arial" w:eastAsia="华文仿宋" w:hAnsi="Arial"/>
                <w:szCs w:val="21"/>
              </w:rPr>
              <w:t>GRADE</w:t>
            </w:r>
            <w:r>
              <w:rPr>
                <w:rFonts w:ascii="Arial" w:cs="Arial" w:eastAsia="华文仿宋" w:hAnsi="Arial" w:hint="eastAsia"/>
                <w:szCs w:val="21"/>
              </w:rPr>
              <w:t>分级强度</w:t>
            </w:r>
            <w:r>
              <w:rPr>
                <w:rFonts w:ascii="Arial" w:cs="Arial" w:eastAsia="华文仿宋" w:hAnsi="Arial"/>
                <w:szCs w:val="21"/>
              </w:rPr>
              <w:t>的诊疗推荐意见</w:t>
            </w:r>
          </w:p>
        </w:tc>
      </w:tr>
      <w:tr>
        <w:tblPrEx/>
        <w:trPr>
          <w:trHeight w:val="444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4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 w:hint="eastAsia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药品说明书不低于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24</w:t>
            </w:r>
            <w:r>
              <w:rPr>
                <w:rFonts w:ascii="Arial" w:cs="Arial" w:eastAsia="华文仿宋" w:hAnsi="Arial"/>
                <w:szCs w:val="21"/>
              </w:rPr>
              <w:t>00</w:t>
            </w:r>
            <w:r>
              <w:rPr>
                <w:rFonts w:ascii="Arial" w:cs="Arial" w:eastAsia="华文仿宋" w:hAnsi="Arial" w:hint="eastAsia"/>
                <w:szCs w:val="21"/>
              </w:rPr>
              <w:t>种</w:t>
            </w:r>
            <w:bookmarkStart w:id="0" w:name="_GoBack"/>
            <w:bookmarkEnd w:id="0"/>
          </w:p>
        </w:tc>
      </w:tr>
      <w:tr>
        <w:tblPrEx/>
        <w:trPr>
          <w:trHeight w:val="559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5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 w:hint="eastAsia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患者教育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专题文章</w:t>
            </w:r>
            <w:r>
              <w:rPr>
                <w:rFonts w:ascii="Arial" w:cs="Arial" w:eastAsia="华文仿宋" w:hAnsi="Arial" w:hint="eastAsia"/>
                <w:szCs w:val="21"/>
              </w:rPr>
              <w:t>不低于1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0</w:t>
            </w:r>
            <w:r>
              <w:rPr>
                <w:rFonts w:ascii="Arial" w:cs="Arial" w:eastAsia="华文仿宋" w:hAnsi="Arial"/>
                <w:szCs w:val="21"/>
              </w:rPr>
              <w:t>00</w:t>
            </w:r>
            <w:r>
              <w:rPr>
                <w:rFonts w:ascii="Arial" w:cs="Arial" w:eastAsia="华文仿宋" w:hAnsi="Arial" w:hint="eastAsia"/>
                <w:szCs w:val="21"/>
              </w:rPr>
              <w:t>篇</w:t>
            </w:r>
          </w:p>
        </w:tc>
      </w:tr>
      <w:tr>
        <w:tblPrEx/>
        <w:trPr>
          <w:trHeight w:val="559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6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 w:hint="eastAsia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参考证据文献链接不低于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30</w:t>
            </w:r>
            <w:r>
              <w:rPr>
                <w:rFonts w:ascii="Arial" w:cs="Arial" w:eastAsia="华文仿宋" w:hAnsi="Arial"/>
                <w:szCs w:val="21"/>
              </w:rPr>
              <w:t>0000</w:t>
            </w:r>
            <w:r>
              <w:rPr>
                <w:rFonts w:ascii="Arial" w:cs="Arial" w:eastAsia="华文仿宋" w:hAnsi="Arial" w:hint="eastAsia"/>
                <w:szCs w:val="21"/>
              </w:rPr>
              <w:t>条</w:t>
            </w:r>
          </w:p>
        </w:tc>
      </w:tr>
      <w:tr>
        <w:tblPrEx/>
        <w:trPr>
          <w:trHeight w:val="597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7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 w:hint="eastAsia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图片</w:t>
            </w:r>
            <w:r>
              <w:rPr>
                <w:rFonts w:ascii="Arial" w:cs="Arial" w:eastAsia="华文仿宋" w:hAnsi="Arial"/>
                <w:szCs w:val="21"/>
              </w:rPr>
              <w:t>/</w:t>
            </w:r>
            <w:r>
              <w:rPr>
                <w:rFonts w:ascii="Arial" w:cs="Arial" w:eastAsia="华文仿宋" w:hAnsi="Arial" w:hint="eastAsia"/>
                <w:szCs w:val="21"/>
              </w:rPr>
              <w:t>表格</w:t>
            </w:r>
            <w:r>
              <w:rPr>
                <w:rFonts w:ascii="Arial" w:cs="Arial" w:eastAsia="华文仿宋" w:hAnsi="Arial"/>
                <w:szCs w:val="21"/>
              </w:rPr>
              <w:t>/</w:t>
            </w:r>
            <w:r>
              <w:rPr>
                <w:rFonts w:ascii="Arial" w:cs="Arial" w:eastAsia="华文仿宋" w:hAnsi="Arial" w:hint="eastAsia"/>
                <w:szCs w:val="21"/>
              </w:rPr>
              <w:t>视频不低于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28</w:t>
            </w:r>
            <w:r>
              <w:rPr>
                <w:rFonts w:ascii="Arial" w:cs="Arial" w:eastAsia="华文仿宋" w:hAnsi="Arial"/>
                <w:szCs w:val="21"/>
              </w:rPr>
              <w:t>000</w:t>
            </w:r>
            <w:r>
              <w:rPr>
                <w:rFonts w:ascii="Arial" w:cs="Arial" w:eastAsia="华文仿宋" w:hAnsi="Arial" w:hint="eastAsia"/>
                <w:szCs w:val="21"/>
              </w:rPr>
              <w:t>个</w:t>
            </w:r>
          </w:p>
        </w:tc>
      </w:tr>
      <w:tr>
        <w:tblPrEx/>
        <w:trPr>
          <w:trHeight w:val="537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8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 w:hint="eastAsia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人性化的中文操作界面，布局应简洁合理</w:t>
            </w:r>
            <w:r>
              <w:rPr>
                <w:rFonts w:ascii="Arial" w:cs="Arial" w:eastAsia="华文仿宋" w:hAnsi="Arial" w:hint="eastAsia"/>
                <w:szCs w:val="21"/>
              </w:rPr>
              <w:t>，并具备多国语言界面切换功能不少于1</w:t>
            </w:r>
            <w:r>
              <w:rPr>
                <w:rFonts w:ascii="Arial" w:cs="Arial" w:eastAsia="华文仿宋" w:hAnsi="Arial"/>
                <w:szCs w:val="21"/>
              </w:rPr>
              <w:t>7</w:t>
            </w:r>
            <w:r>
              <w:rPr>
                <w:rFonts w:ascii="Arial" w:cs="Arial" w:eastAsia="华文仿宋" w:hAnsi="Arial" w:hint="eastAsia"/>
                <w:szCs w:val="21"/>
              </w:rPr>
              <w:t>种外国语言</w:t>
            </w:r>
          </w:p>
        </w:tc>
      </w:tr>
      <w:tr>
        <w:tblPrEx/>
        <w:trPr>
          <w:trHeight w:val="559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9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 w:hint="eastAsia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支持检索疾病名称、症状、检验检查、药品商品名和通用名、英文缩略语，支持多关键词查询，支持中英文检索</w:t>
            </w:r>
          </w:p>
        </w:tc>
      </w:tr>
      <w:tr>
        <w:tblPrEx/>
        <w:trPr>
          <w:trHeight w:val="537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1</w:t>
            </w:r>
            <w:r>
              <w:rPr>
                <w:rFonts w:ascii="Arial" w:cs="Arial" w:eastAsia="华文仿宋" w:hAnsi="Arial"/>
                <w:szCs w:val="21"/>
              </w:rPr>
              <w:t>0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 w:hint="eastAsia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支持根据输入的关键词进行自动联想</w:t>
            </w:r>
          </w:p>
        </w:tc>
      </w:tr>
      <w:tr>
        <w:tblPrEx/>
        <w:trPr>
          <w:trHeight w:val="566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1</w:t>
            </w:r>
            <w:r>
              <w:rPr>
                <w:rFonts w:ascii="Arial" w:cs="Arial" w:eastAsia="华文仿宋" w:hAnsi="Arial"/>
                <w:szCs w:val="21"/>
              </w:rPr>
              <w:t>1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 w:hint="eastAsia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支持对检索结果按照规则进行筛选和重新排序</w:t>
            </w:r>
          </w:p>
        </w:tc>
      </w:tr>
      <w:tr>
        <w:tblPrEx/>
        <w:trPr>
          <w:trHeight w:val="704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1</w:t>
            </w:r>
            <w:r>
              <w:rPr>
                <w:rFonts w:ascii="Arial" w:cs="Arial" w:eastAsia="华文仿宋" w:hAnsi="Arial"/>
                <w:szCs w:val="21"/>
              </w:rPr>
              <w:t>2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 w:hint="eastAsia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支持直接检索与关键词相关的图表</w:t>
            </w:r>
          </w:p>
        </w:tc>
      </w:tr>
      <w:tr>
        <w:tblPrEx/>
        <w:trPr>
          <w:trHeight w:val="581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1</w:t>
            </w:r>
            <w:r>
              <w:rPr>
                <w:rFonts w:ascii="Arial" w:cs="Arial" w:eastAsia="华文仿宋" w:hAnsi="Arial"/>
                <w:szCs w:val="21"/>
              </w:rPr>
              <w:t>3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支持直接将图表导出至PowerPoint</w:t>
            </w:r>
          </w:p>
        </w:tc>
      </w:tr>
      <w:tr>
        <w:tblPrEx/>
        <w:trPr>
          <w:trHeight w:val="582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1</w:t>
            </w:r>
            <w:r>
              <w:rPr>
                <w:rFonts w:ascii="Arial" w:cs="Arial" w:eastAsia="华文仿宋" w:hAnsi="Arial"/>
                <w:szCs w:val="21"/>
              </w:rPr>
              <w:t>4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支持医务人员提交反馈意见</w:t>
            </w:r>
          </w:p>
        </w:tc>
      </w:tr>
      <w:tr>
        <w:tblPrEx/>
        <w:trPr>
          <w:trHeight w:val="559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1</w:t>
            </w:r>
            <w:r>
              <w:rPr>
                <w:rFonts w:ascii="Arial" w:cs="Arial" w:eastAsia="华文仿宋" w:hAnsi="Arial"/>
                <w:szCs w:val="21"/>
              </w:rPr>
              <w:t>5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覆盖的临床专科不少于2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0</w:t>
            </w:r>
            <w:r>
              <w:rPr>
                <w:rFonts w:ascii="Arial" w:cs="Arial" w:eastAsia="华文仿宋" w:hAnsi="Arial"/>
                <w:szCs w:val="21"/>
              </w:rPr>
              <w:t>个</w:t>
            </w:r>
          </w:p>
        </w:tc>
      </w:tr>
      <w:tr>
        <w:tblPrEx/>
        <w:trPr>
          <w:trHeight w:val="507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1</w:t>
            </w:r>
            <w:r>
              <w:rPr>
                <w:rFonts w:ascii="Arial" w:cs="Arial" w:eastAsia="华文仿宋" w:hAnsi="Arial"/>
                <w:szCs w:val="21"/>
              </w:rPr>
              <w:t>6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临床专题</w:t>
            </w:r>
            <w:r>
              <w:rPr>
                <w:rFonts w:ascii="Arial" w:cs="Arial" w:eastAsia="华文仿宋" w:hAnsi="Arial" w:hint="eastAsia"/>
                <w:szCs w:val="21"/>
              </w:rPr>
              <w:t>内容</w:t>
            </w:r>
            <w:r>
              <w:rPr>
                <w:rFonts w:ascii="Arial" w:cs="Arial" w:eastAsia="华文仿宋" w:hAnsi="Arial"/>
                <w:szCs w:val="21"/>
              </w:rPr>
              <w:t>应</w:t>
            </w:r>
            <w:r>
              <w:rPr>
                <w:rFonts w:ascii="Arial" w:cs="Arial" w:eastAsia="华文仿宋" w:hAnsi="Arial" w:hint="eastAsia"/>
                <w:szCs w:val="21"/>
              </w:rPr>
              <w:t>覆盖</w:t>
            </w:r>
            <w:r>
              <w:rPr>
                <w:rFonts w:ascii="Arial" w:cs="Arial" w:eastAsia="华文仿宋" w:hAnsi="Arial"/>
                <w:szCs w:val="21"/>
              </w:rPr>
              <w:t>疾病的病因、发病机制、诊断、治疗、预后、预防等方面</w:t>
            </w:r>
          </w:p>
        </w:tc>
      </w:tr>
      <w:tr>
        <w:tblPrEx/>
        <w:trPr>
          <w:trHeight w:val="514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1</w:t>
            </w:r>
            <w:r>
              <w:rPr>
                <w:rFonts w:ascii="Arial" w:cs="Arial" w:eastAsia="华文仿宋" w:hAnsi="Arial"/>
                <w:szCs w:val="21"/>
              </w:rPr>
              <w:t>7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每篇</w:t>
            </w:r>
            <w:r>
              <w:rPr>
                <w:rFonts w:ascii="Arial" w:cs="Arial" w:eastAsia="华文仿宋" w:hAnsi="Arial"/>
                <w:szCs w:val="21"/>
              </w:rPr>
              <w:t>专题</w:t>
            </w:r>
            <w:r>
              <w:rPr>
                <w:rFonts w:ascii="Arial" w:cs="Arial" w:eastAsia="华文仿宋" w:hAnsi="Arial" w:hint="eastAsia"/>
                <w:szCs w:val="21"/>
              </w:rPr>
              <w:t>附有</w:t>
            </w:r>
            <w:r>
              <w:rPr>
                <w:rFonts w:ascii="Arial" w:cs="Arial" w:eastAsia="华文仿宋" w:hAnsi="Arial"/>
                <w:szCs w:val="21"/>
              </w:rPr>
              <w:t>简明扼要的提纲，便于快速定位至相关章节</w:t>
            </w:r>
          </w:p>
        </w:tc>
      </w:tr>
      <w:tr>
        <w:tblPrEx/>
        <w:trPr>
          <w:trHeight w:val="544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1</w:t>
            </w:r>
            <w:r>
              <w:rPr>
                <w:rFonts w:ascii="Arial" w:cs="Arial" w:eastAsia="华文仿宋" w:hAnsi="Arial"/>
                <w:szCs w:val="21"/>
              </w:rPr>
              <w:t>8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应</w:t>
            </w:r>
            <w:r>
              <w:rPr>
                <w:rFonts w:ascii="Arial" w:cs="Arial" w:eastAsia="华文仿宋" w:hAnsi="Arial"/>
                <w:szCs w:val="21"/>
              </w:rPr>
              <w:t>提供临床指南链接，</w:t>
            </w:r>
            <w:r>
              <w:rPr>
                <w:rFonts w:ascii="Arial" w:cs="Arial" w:eastAsia="华文仿宋" w:hAnsi="Arial" w:hint="eastAsia"/>
                <w:szCs w:val="21"/>
              </w:rPr>
              <w:t>应覆盖</w:t>
            </w:r>
            <w:r>
              <w:rPr>
                <w:rFonts w:ascii="Arial" w:cs="Arial" w:eastAsia="华文仿宋" w:hAnsi="Arial"/>
                <w:szCs w:val="21"/>
              </w:rPr>
              <w:t>不少于</w:t>
            </w:r>
            <w:r>
              <w:rPr>
                <w:rFonts w:ascii="Arial" w:cs="Arial" w:eastAsia="华文仿宋" w:hAnsi="Arial" w:hint="eastAsia"/>
                <w:szCs w:val="21"/>
              </w:rPr>
              <w:t>全球5个</w:t>
            </w:r>
            <w:r>
              <w:rPr>
                <w:rFonts w:ascii="Arial" w:cs="Arial" w:eastAsia="华文仿宋" w:hAnsi="Arial"/>
                <w:szCs w:val="21"/>
              </w:rPr>
              <w:t>国家及</w:t>
            </w:r>
            <w:r>
              <w:rPr>
                <w:rFonts w:ascii="Arial" w:cs="Arial" w:eastAsia="华文仿宋" w:hAnsi="Arial" w:hint="eastAsia"/>
                <w:szCs w:val="21"/>
              </w:rPr>
              <w:t>地区</w:t>
            </w:r>
            <w:r>
              <w:rPr>
                <w:rFonts w:ascii="Arial" w:cs="Arial" w:eastAsia="华文仿宋" w:hAnsi="Arial"/>
                <w:szCs w:val="21"/>
              </w:rPr>
              <w:t>的指南内容</w:t>
            </w:r>
          </w:p>
        </w:tc>
      </w:tr>
      <w:tr>
        <w:tblPrEx/>
        <w:trPr>
          <w:trHeight w:val="704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1</w:t>
            </w:r>
            <w:r>
              <w:rPr>
                <w:rFonts w:ascii="Arial" w:cs="Arial" w:eastAsia="华文仿宋" w:hAnsi="Arial"/>
                <w:szCs w:val="21"/>
              </w:rPr>
              <w:t>9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应提供不少于1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6</w:t>
            </w:r>
            <w:r>
              <w:rPr>
                <w:rFonts w:ascii="Arial" w:cs="Arial" w:eastAsia="华文仿宋" w:hAnsi="Arial"/>
                <w:szCs w:val="21"/>
              </w:rPr>
              <w:t>0个医学计算器</w:t>
            </w:r>
          </w:p>
        </w:tc>
      </w:tr>
      <w:tr>
        <w:tblPrEx/>
        <w:trPr>
          <w:trHeight w:val="559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2</w:t>
            </w:r>
            <w:r>
              <w:rPr>
                <w:rFonts w:ascii="Arial" w:cs="Arial" w:eastAsia="华文仿宋" w:hAnsi="Arial"/>
                <w:szCs w:val="21"/>
              </w:rPr>
              <w:t>0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应提供不少于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4</w:t>
            </w:r>
            <w:r>
              <w:rPr>
                <w:rFonts w:ascii="Arial" w:cs="Arial" w:eastAsia="华文仿宋" w:hAnsi="Arial"/>
                <w:szCs w:val="21"/>
              </w:rPr>
              <w:t>000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篇</w:t>
            </w:r>
            <w:r>
              <w:rPr>
                <w:rFonts w:ascii="Arial" w:cs="Arial" w:eastAsia="华文仿宋" w:hAnsi="Arial"/>
                <w:szCs w:val="21"/>
              </w:rPr>
              <w:t>英文药物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专论</w:t>
            </w:r>
            <w:r>
              <w:rPr>
                <w:rFonts w:ascii="Arial" w:cs="Arial" w:eastAsia="华文仿宋" w:hAnsi="Arial"/>
                <w:szCs w:val="21"/>
              </w:rPr>
              <w:t>和不少于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8</w:t>
            </w:r>
            <w:r>
              <w:rPr>
                <w:rFonts w:ascii="Arial" w:cs="Arial" w:eastAsia="华文仿宋" w:hAnsi="Arial"/>
                <w:szCs w:val="21"/>
              </w:rPr>
              <w:t>00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篇</w:t>
            </w:r>
            <w:r>
              <w:rPr>
                <w:rFonts w:ascii="Arial" w:cs="Arial" w:eastAsia="华文仿宋" w:hAnsi="Arial"/>
                <w:szCs w:val="21"/>
              </w:rPr>
              <w:t>中文药物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专论</w:t>
            </w:r>
          </w:p>
        </w:tc>
      </w:tr>
      <w:tr>
        <w:tblPrEx/>
        <w:trPr>
          <w:trHeight w:val="551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2</w:t>
            </w:r>
            <w:r>
              <w:rPr>
                <w:rFonts w:ascii="Arial" w:cs="Arial" w:eastAsia="华文仿宋" w:hAnsi="Arial"/>
                <w:szCs w:val="21"/>
              </w:rPr>
              <w:t>1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 w:hint="eastAsia"/>
                <w:szCs w:val="21"/>
                <w:lang w:val="en-US" w:eastAsia="zh-CN"/>
              </w:rPr>
            </w:pPr>
            <w:r>
              <w:rPr>
                <w:rFonts w:ascii="Arial" w:cs="Arial" w:eastAsia="华文仿宋" w:hAnsi="Arial"/>
                <w:szCs w:val="21"/>
              </w:rPr>
              <w:t>应提供药物相互作用工具，提供风险评级、总结、严重程度及其可靠性评级、患者处理、讨论和参考文献等信息</w:t>
            </w:r>
          </w:p>
        </w:tc>
      </w:tr>
      <w:tr>
        <w:tblPrEx/>
        <w:trPr>
          <w:trHeight w:val="544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2</w:t>
            </w:r>
            <w:r>
              <w:rPr>
                <w:rFonts w:ascii="Arial" w:cs="Arial" w:eastAsia="华文仿宋" w:hAnsi="Arial"/>
                <w:szCs w:val="21"/>
              </w:rPr>
              <w:t>2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应提供用简单平实语言撰写的患者教育信息，便于专业人员与患者进行有效沟通</w:t>
            </w:r>
          </w:p>
        </w:tc>
      </w:tr>
      <w:tr>
        <w:tblPrEx/>
        <w:trPr>
          <w:trHeight w:val="704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2</w:t>
            </w:r>
            <w:r>
              <w:rPr>
                <w:rFonts w:ascii="Arial" w:cs="Arial" w:eastAsia="华文仿宋" w:hAnsi="Arial"/>
                <w:szCs w:val="21"/>
              </w:rPr>
              <w:t>3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应提供帮助医务人员进行医学继续教育的内容，包括教程、测试、案例以及常见生物学和流行病学术语词汇表等</w:t>
            </w:r>
          </w:p>
        </w:tc>
      </w:tr>
      <w:tr>
        <w:tblPrEx/>
        <w:trPr>
          <w:trHeight w:val="704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2</w:t>
            </w:r>
            <w:r>
              <w:rPr>
                <w:rFonts w:ascii="Arial" w:cs="Arial" w:eastAsia="华文仿宋" w:hAnsi="Arial"/>
                <w:szCs w:val="21"/>
              </w:rPr>
              <w:t>4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数据来源包括但不限于专业期刊、主要临床指南、学术会议共识</w:t>
            </w:r>
          </w:p>
        </w:tc>
      </w:tr>
      <w:tr>
        <w:tblPrEx/>
        <w:trPr>
          <w:trHeight w:val="704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2</w:t>
            </w:r>
            <w:r>
              <w:rPr>
                <w:rFonts w:ascii="Arial" w:cs="Arial" w:eastAsia="华文仿宋" w:hAnsi="Arial"/>
                <w:szCs w:val="21"/>
              </w:rPr>
              <w:t>5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所有专题应有参考文献并</w:t>
            </w:r>
            <w:r>
              <w:rPr>
                <w:rFonts w:ascii="Arial" w:cs="Arial" w:eastAsia="华文仿宋" w:hAnsi="Arial" w:hint="eastAsia"/>
                <w:szCs w:val="21"/>
              </w:rPr>
              <w:t>在产品内可查看</w:t>
            </w:r>
            <w:r>
              <w:rPr>
                <w:rFonts w:ascii="Arial" w:cs="Arial" w:eastAsia="华文仿宋" w:hAnsi="Arial"/>
                <w:szCs w:val="21"/>
              </w:rPr>
              <w:t>摘要原文，在专题中还应提供相应的PubMed链接</w:t>
            </w:r>
          </w:p>
        </w:tc>
      </w:tr>
      <w:tr>
        <w:tblPrEx/>
        <w:trPr>
          <w:trHeight w:val="704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2</w:t>
            </w:r>
            <w:r>
              <w:rPr>
                <w:rFonts w:ascii="Arial" w:cs="Arial" w:eastAsia="华文仿宋" w:hAnsi="Arial"/>
                <w:szCs w:val="21"/>
              </w:rPr>
              <w:t>6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所有专题均详细列出所有与专题相关的人名、职称以及供职机构</w:t>
            </w:r>
          </w:p>
        </w:tc>
      </w:tr>
      <w:tr>
        <w:tblPrEx/>
        <w:trPr>
          <w:trHeight w:val="492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2</w:t>
            </w:r>
            <w:r>
              <w:rPr>
                <w:rFonts w:ascii="Arial" w:cs="Arial" w:eastAsia="华文仿宋" w:hAnsi="Arial"/>
                <w:szCs w:val="21"/>
              </w:rPr>
              <w:t>7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所有专题均详细列出所有专题的公开性原则和利益矛盾的解决方案</w:t>
            </w:r>
          </w:p>
        </w:tc>
      </w:tr>
      <w:tr>
        <w:tblPrEx/>
        <w:trPr>
          <w:trHeight w:val="704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2</w:t>
            </w:r>
            <w:r>
              <w:rPr>
                <w:rFonts w:ascii="Arial" w:cs="Arial" w:eastAsia="华文仿宋" w:hAnsi="Arial"/>
                <w:szCs w:val="21"/>
              </w:rPr>
              <w:t>8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内容应</w:t>
            </w:r>
            <w:r>
              <w:rPr>
                <w:rFonts w:ascii="Arial" w:cs="Arial" w:eastAsia="华文仿宋" w:hAnsi="Arial"/>
                <w:szCs w:val="21"/>
              </w:rPr>
              <w:t>保证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及</w:t>
            </w:r>
            <w:r>
              <w:rPr>
                <w:rFonts w:ascii="Arial" w:cs="Arial" w:eastAsia="华文仿宋" w:hAnsi="Arial"/>
                <w:szCs w:val="21"/>
              </w:rPr>
              <w:t>时</w:t>
            </w:r>
            <w:r>
              <w:rPr>
                <w:rFonts w:ascii="Arial" w:cs="Arial" w:eastAsia="华文仿宋" w:hAnsi="Arial" w:hint="eastAsia"/>
                <w:szCs w:val="21"/>
              </w:rPr>
              <w:t>在线</w:t>
            </w:r>
            <w:r>
              <w:rPr>
                <w:rFonts w:ascii="Arial" w:cs="Arial" w:eastAsia="华文仿宋" w:hAnsi="Arial"/>
                <w:szCs w:val="21"/>
              </w:rPr>
              <w:t>自动更新，</w:t>
            </w:r>
            <w:r>
              <w:rPr>
                <w:rFonts w:ascii="Arial" w:cs="Arial" w:eastAsia="华文仿宋" w:hAnsi="Arial" w:hint="eastAsia"/>
                <w:szCs w:val="21"/>
              </w:rPr>
              <w:t>无需下载离线资料包；对于临床专题中非常重要的更新，应在非常明显之处予以说明。</w:t>
            </w:r>
          </w:p>
        </w:tc>
      </w:tr>
      <w:tr>
        <w:tblPrEx/>
        <w:trPr>
          <w:trHeight w:val="589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2</w:t>
            </w:r>
            <w:r>
              <w:rPr>
                <w:rFonts w:ascii="Arial" w:cs="Arial" w:eastAsia="华文仿宋" w:hAnsi="Arial"/>
                <w:szCs w:val="21"/>
              </w:rPr>
              <w:t>9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应清晰列出专题相关参考文献的评阅时间</w:t>
            </w:r>
            <w:r>
              <w:rPr>
                <w:rFonts w:ascii="Arial" w:cs="Arial" w:eastAsia="华文仿宋" w:hAnsi="Arial" w:hint="eastAsia"/>
                <w:szCs w:val="21"/>
              </w:rPr>
              <w:t>（精确到月）</w:t>
            </w:r>
            <w:r>
              <w:rPr>
                <w:rFonts w:ascii="Arial" w:cs="Arial" w:eastAsia="华文仿宋" w:hAnsi="Arial"/>
                <w:szCs w:val="21"/>
              </w:rPr>
              <w:t>以及专题最后更新时间</w:t>
            </w:r>
            <w:r>
              <w:rPr>
                <w:rFonts w:ascii="Arial" w:cs="Arial" w:eastAsia="华文仿宋" w:hAnsi="Arial" w:hint="eastAsia"/>
                <w:szCs w:val="21"/>
              </w:rPr>
              <w:t>(精确到日</w:t>
            </w:r>
            <w:r>
              <w:rPr>
                <w:rFonts w:ascii="Arial" w:cs="Arial" w:eastAsia="华文仿宋" w:hAnsi="Arial"/>
                <w:szCs w:val="21"/>
              </w:rPr>
              <w:t>)</w:t>
            </w:r>
          </w:p>
        </w:tc>
      </w:tr>
      <w:tr>
        <w:tblPrEx/>
        <w:trPr>
          <w:trHeight w:val="529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3</w:t>
            </w:r>
            <w:r>
              <w:rPr>
                <w:rFonts w:ascii="Arial" w:cs="Arial" w:eastAsia="华文仿宋" w:hAnsi="Arial"/>
                <w:szCs w:val="21"/>
              </w:rPr>
              <w:t>0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“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系统</w:t>
            </w:r>
            <w:r>
              <w:rPr>
                <w:rFonts w:ascii="Arial" w:cs="Arial" w:eastAsia="华文仿宋" w:hAnsi="Arial"/>
                <w:szCs w:val="21"/>
              </w:rPr>
              <w:t>”应按照不同的临床专科，将最近6个月内该专科内不同疾病专题的更新内容，采用非常清晰地方式列出；</w:t>
            </w:r>
          </w:p>
        </w:tc>
      </w:tr>
      <w:tr>
        <w:tblPrEx/>
        <w:trPr>
          <w:trHeight w:val="704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3</w:t>
            </w:r>
            <w:r>
              <w:rPr>
                <w:rFonts w:ascii="Arial" w:cs="Arial" w:eastAsia="华文仿宋" w:hAnsi="Arial"/>
                <w:szCs w:val="21"/>
              </w:rPr>
              <w:t>1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/>
                <w:szCs w:val="21"/>
              </w:rPr>
              <w:t>其检索浏览应方便快捷，不应增加现有服务器及网络负担</w:t>
            </w:r>
          </w:p>
        </w:tc>
      </w:tr>
      <w:tr>
        <w:tblPrEx/>
        <w:trPr>
          <w:trHeight w:val="704" w:hRule="atLeast"/>
          <w:jc w:val="center"/>
        </w:trPr>
        <w:tc>
          <w:tcPr>
            <w:tcW w:w="310" w:type="pct"/>
            <w:tcBorders/>
            <w:vAlign w:val="center"/>
          </w:tcPr>
          <w:p>
            <w:pPr>
              <w:pStyle w:val="style157"/>
              <w:jc w:val="center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3</w:t>
            </w:r>
            <w:r>
              <w:rPr>
                <w:rFonts w:ascii="Arial" w:cs="Arial" w:eastAsia="华文仿宋" w:hAnsi="Arial"/>
                <w:szCs w:val="21"/>
              </w:rPr>
              <w:t>2</w:t>
            </w:r>
          </w:p>
        </w:tc>
        <w:tc>
          <w:tcPr>
            <w:tcW w:w="4689" w:type="pct"/>
            <w:tcBorders/>
            <w:vAlign w:val="center"/>
          </w:tcPr>
          <w:p>
            <w:pPr>
              <w:pStyle w:val="style157"/>
              <w:rPr>
                <w:rFonts w:ascii="Arial" w:cs="Arial" w:eastAsia="华文仿宋" w:hAnsi="Arial"/>
                <w:szCs w:val="21"/>
              </w:rPr>
            </w:pPr>
            <w:r>
              <w:rPr>
                <w:rFonts w:ascii="Arial" w:cs="Arial" w:eastAsia="华文仿宋" w:hAnsi="Arial" w:hint="eastAsia"/>
                <w:szCs w:val="21"/>
              </w:rPr>
              <w:t>提供固定的院内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IP</w:t>
            </w:r>
            <w:r>
              <w:rPr>
                <w:rFonts w:ascii="Arial" w:cs="Arial" w:eastAsia="华文仿宋" w:hAnsi="Arial" w:hint="eastAsia"/>
                <w:szCs w:val="21"/>
              </w:rPr>
              <w:t>访问方式，不限访问人数和次数的限制，无需额外</w:t>
            </w:r>
            <w:r>
              <w:rPr>
                <w:rFonts w:ascii="Arial" w:cs="Arial" w:eastAsia="华文仿宋" w:hAnsi="Arial" w:hint="eastAsia"/>
                <w:szCs w:val="21"/>
                <w:lang w:val="en-US" w:eastAsia="zh-CN"/>
              </w:rPr>
              <w:t>维护</w:t>
            </w:r>
            <w:r>
              <w:rPr>
                <w:rFonts w:ascii="Arial" w:cs="Arial" w:eastAsia="华文仿宋" w:hAnsi="Arial" w:hint="eastAsia"/>
                <w:szCs w:val="21"/>
              </w:rPr>
              <w:t>工作</w:t>
            </w:r>
            <w:r>
              <w:rPr>
                <w:rFonts w:ascii="Arial" w:cs="Arial" w:eastAsia="华文仿宋" w:hAnsi="Arial" w:hint="eastAsia"/>
                <w:szCs w:val="21"/>
                <w:lang w:eastAsia="zh-CN"/>
              </w:rPr>
              <w:t>。</w:t>
            </w:r>
          </w:p>
        </w:tc>
      </w:tr>
    </w:tbl>
    <w:p>
      <w:pPr>
        <w:pStyle w:val="style0"/>
        <w:rPr>
          <w:rFonts w:hint="eastAsia"/>
        </w:rPr>
      </w:pPr>
    </w:p>
    <w:p>
      <w:pPr>
        <w:pStyle w:val="style0"/>
        <w:adjustRightInd w:val="false"/>
        <w:snapToGrid w:val="false"/>
        <w:spacing w:lineRule="auto" w:line="360"/>
        <w:jc w:val="left"/>
        <w:rPr>
          <w:rFonts w:ascii="等线" w:eastAsia="等线" w:hAnsi="等线" w:hint="default"/>
          <w:b/>
          <w:bCs/>
          <w:sz w:val="20"/>
          <w:szCs w:val="20"/>
          <w:lang w:val="en-US"/>
        </w:rPr>
      </w:pPr>
    </w:p>
    <w:p>
      <w:pPr>
        <w:pStyle w:val="style0"/>
        <w:rPr>
          <w:sz w:val="16"/>
          <w:szCs w:val="20"/>
        </w:rPr>
      </w:pPr>
      <w:r>
        <w:rPr>
          <w:rFonts w:ascii="等线" w:eastAsia="等线" w:hAnsi="等线"/>
          <w:sz w:val="20"/>
          <w:szCs w:val="20"/>
        </w:rPr>
        <w:t xml:space="preserve"> </w:t>
      </w:r>
    </w:p>
    <w:p>
      <w:pPr>
        <w:pStyle w:val="style0"/>
        <w:rPr>
          <w:rFonts w:hint="eastAsia"/>
          <w:sz w:val="16"/>
          <w:szCs w:val="20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13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3">
    <w:name w:val="index 4"/>
    <w:basedOn w:val="style0"/>
    <w:next w:val="style0"/>
    <w:qFormat/>
    <w:uiPriority w:val="99"/>
    <w:pPr>
      <w:ind w:left="600" w:leftChars="600"/>
    </w:pPr>
    <w:rPr>
      <w:szCs w:val="20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等线" w:cs="宋体" w:eastAsia="等线" w:hAnsi="等线"/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等线" w:cs="宋体" w:eastAsia="等线" w:hAnsi="等线"/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57">
    <w:name w:val="No Spacing"/>
    <w:next w:val="style157"/>
    <w:qFormat/>
    <w:uiPriority w:val="1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customStyle="1" w:styleId="style4099">
    <w:name w:val="Default"/>
    <w:next w:val="style4099"/>
    <w:qFormat/>
    <w:uiPriority w:val="0"/>
    <w:pPr>
      <w:widowControl w:val="false"/>
      <w:autoSpaceDE w:val="false"/>
      <w:autoSpaceDN w:val="false"/>
      <w:adjustRightInd w:val="false"/>
    </w:pPr>
    <w:rPr>
      <w:rFonts w:ascii="微软雅黑" w:cs="微软雅黑" w:eastAsia="微软雅黑" w:hAnsi="等线"/>
      <w:color w:val="000000"/>
      <w:kern w:val="0"/>
      <w:sz w:val="24"/>
      <w:szCs w:val="24"/>
      <w:lang w:val="en-US" w:bidi="ar-SA" w:eastAsia="zh-CN"/>
    </w:rPr>
  </w:style>
  <w:style w:type="paragraph" w:customStyle="1" w:styleId="style4100">
    <w:name w:val="x_msonormal"/>
    <w:basedOn w:val="style0"/>
    <w:next w:val="style4100"/>
    <w:qFormat/>
    <w:uiPriority w:val="0"/>
    <w:pPr>
      <w:widowControl/>
    </w:pPr>
    <w:rPr>
      <w:rFonts w:ascii="等线" w:cs="宋体" w:eastAsia="等线" w:hAnsi="等线"/>
      <w:kern w:val="0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932</Words>
  <Pages>3</Pages>
  <Characters>1014</Characters>
  <Application>WPS Office</Application>
  <DocSecurity>0</DocSecurity>
  <Paragraphs>105</Paragraphs>
  <ScaleCrop>false</ScaleCrop>
  <Company>P R C</Company>
  <LinksUpToDate>false</LinksUpToDate>
  <CharactersWithSpaces>1015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2019-12-02T06:14:00Z</dcterms:created>
  <dc:creator>陈思琪</dc:creator>
  <lastModifiedBy>TAS-AN00</lastModifiedBy>
  <dcterms:modified xsi:type="dcterms:W3CDTF">2022-06-14T02:04:15Z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91F0390C82324B9AB629856160137A4B</vt:lpwstr>
  </property>
</Properties>
</file>