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仿宋" w:cs="仿宋" w:eastAsia="仿宋" w:hAnsi="仿宋" w:hint="eastAsia"/>
          <w:b/>
          <w:bCs/>
          <w:sz w:val="28"/>
          <w:szCs w:val="28"/>
        </w:rPr>
      </w:pPr>
      <w:r>
        <w:rPr>
          <w:rFonts w:ascii="Arial" w:cs="Arial" w:eastAsia="华文仿宋" w:hAnsi="Arial" w:hint="eastAsia"/>
          <w:b/>
          <w:bCs/>
          <w:sz w:val="22"/>
          <w:szCs w:val="22"/>
          <w:lang w:val="en-US" w:eastAsia="zh-CN"/>
        </w:rPr>
        <w:t>UpToDate临床顾问</w:t>
      </w:r>
    </w:p>
    <w:tbl>
      <w:tblPr>
        <w:tblStyle w:val="style105"/>
        <w:tblW w:w="4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6616"/>
      </w:tblGrid>
      <w:tr>
        <w:trPr>
          <w:trHeight w:val="352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b/>
                <w:szCs w:val="21"/>
              </w:rPr>
            </w:pPr>
          </w:p>
          <w:p>
            <w:pPr>
              <w:pStyle w:val="style157"/>
              <w:jc w:val="center"/>
              <w:rPr>
                <w:rFonts w:ascii="Arial" w:cs="Arial" w:eastAsia="华文仿宋" w:hAnsi="Arial" w:hint="eastAsia"/>
                <w:b/>
                <w:szCs w:val="21"/>
              </w:rPr>
            </w:pP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jc w:val="both"/>
              <w:rPr>
                <w:rFonts w:ascii="Arial" w:cs="Arial" w:eastAsia="华文仿宋" w:hAnsi="Arial" w:hint="eastAsia"/>
                <w:b/>
                <w:szCs w:val="21"/>
                <w:lang w:val="en-US" w:eastAsia="zh-CN"/>
              </w:rPr>
            </w:pPr>
            <w:r>
              <w:rPr>
                <w:rFonts w:ascii="Arial" w:cs="Arial" w:eastAsia="华文仿宋" w:hAnsi="Arial" w:hint="eastAsia"/>
                <w:b/>
                <w:szCs w:val="21"/>
                <w:lang w:val="en-US" w:eastAsia="zh-CN"/>
              </w:rPr>
              <w:t>产品参数</w:t>
            </w:r>
          </w:p>
        </w:tc>
      </w:tr>
      <w:tr>
        <w:tblPrEx/>
        <w:trPr>
          <w:trHeight w:val="484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/>
                <w:szCs w:val="21"/>
              </w:rPr>
              <w:t>1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 w:hint="eastAsia"/>
                <w:szCs w:val="21"/>
                <w:lang w:val="en-US" w:eastAsia="zh-CN"/>
              </w:rPr>
            </w:pPr>
            <w:r>
              <w:rPr>
                <w:rFonts w:ascii="Arial" w:cs="Arial" w:eastAsia="华文仿宋" w:hAnsi="Arial" w:hint="eastAsia"/>
                <w:szCs w:val="21"/>
                <w:lang w:val="en-US" w:eastAsia="zh-CN"/>
              </w:rPr>
              <w:t>支持</w:t>
            </w:r>
            <w:r>
              <w:rPr>
                <w:rFonts w:ascii="Arial" w:cs="Arial" w:eastAsia="华文仿宋" w:hAnsi="Arial" w:hint="eastAsia"/>
                <w:szCs w:val="21"/>
              </w:rPr>
              <w:t>中英文双语言</w:t>
            </w:r>
            <w:r>
              <w:rPr>
                <w:rFonts w:ascii="Arial" w:cs="Arial" w:eastAsia="华文仿宋" w:hAnsi="Arial" w:hint="eastAsia"/>
                <w:szCs w:val="21"/>
                <w:lang w:val="en-US" w:eastAsia="zh-CN"/>
              </w:rPr>
              <w:t>的</w:t>
            </w:r>
            <w:r>
              <w:rPr>
                <w:rFonts w:ascii="Arial" w:cs="Arial" w:eastAsia="华文仿宋" w:hAnsi="Arial" w:hint="eastAsia"/>
                <w:szCs w:val="21"/>
              </w:rPr>
              <w:t>循证医学</w:t>
            </w:r>
            <w:r>
              <w:rPr>
                <w:rFonts w:ascii="Arial" w:cs="Arial" w:eastAsia="华文仿宋" w:hAnsi="Arial" w:hint="eastAsia"/>
                <w:szCs w:val="21"/>
                <w:lang w:val="en-US" w:eastAsia="zh-CN"/>
              </w:rPr>
              <w:t>临床决策支持系统</w:t>
            </w:r>
          </w:p>
        </w:tc>
      </w:tr>
      <w:tr>
        <w:tblPrEx/>
        <w:trPr>
          <w:trHeight w:val="704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2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 w:hint="eastAsia"/>
                <w:szCs w:val="21"/>
                <w:lang w:eastAsia="zh-CN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临床专题</w:t>
            </w:r>
            <w:r>
              <w:rPr>
                <w:rFonts w:ascii="Arial" w:cs="Arial" w:eastAsia="华文仿宋" w:hAnsi="Arial" w:hint="eastAsia"/>
                <w:szCs w:val="21"/>
                <w:lang w:val="en-US" w:eastAsia="zh-CN"/>
              </w:rPr>
              <w:t>文章</w:t>
            </w:r>
            <w:r>
              <w:rPr>
                <w:rFonts w:ascii="Arial" w:cs="Arial" w:eastAsia="华文仿宋" w:hAnsi="Arial" w:hint="eastAsia"/>
                <w:szCs w:val="21"/>
              </w:rPr>
              <w:t>数量不</w:t>
            </w:r>
            <w:r>
              <w:rPr>
                <w:rFonts w:ascii="Arial" w:cs="Arial" w:eastAsia="华文仿宋" w:hAnsi="Arial" w:hint="eastAsia"/>
                <w:szCs w:val="21"/>
                <w:lang w:val="en-US" w:eastAsia="zh-CN"/>
              </w:rPr>
              <w:t>低于80</w:t>
            </w:r>
            <w:r>
              <w:rPr>
                <w:rFonts w:ascii="Arial" w:cs="Arial" w:eastAsia="华文仿宋" w:hAnsi="Arial" w:hint="eastAsia"/>
                <w:szCs w:val="21"/>
              </w:rPr>
              <w:t>00</w:t>
            </w:r>
            <w:r>
              <w:rPr>
                <w:rFonts w:ascii="Arial" w:cs="Arial" w:eastAsia="华文仿宋" w:hAnsi="Arial" w:hint="eastAsia"/>
                <w:szCs w:val="21"/>
                <w:lang w:val="en-US" w:eastAsia="zh-CN"/>
              </w:rPr>
              <w:t>篇</w:t>
            </w:r>
            <w:r>
              <w:rPr>
                <w:rFonts w:ascii="Arial" w:cs="Arial" w:eastAsia="华文仿宋" w:hAnsi="Arial" w:hint="eastAsia"/>
                <w:szCs w:val="21"/>
                <w:lang w:eastAsia="zh-CN"/>
              </w:rPr>
              <w:t>，</w:t>
            </w:r>
            <w:r>
              <w:rPr>
                <w:rFonts w:ascii="Arial" w:cs="Arial" w:eastAsia="华文仿宋" w:hAnsi="Arial" w:hint="eastAsia"/>
                <w:szCs w:val="21"/>
                <w:lang w:val="en-US" w:eastAsia="zh-CN"/>
              </w:rPr>
              <w:t>且</w:t>
            </w:r>
            <w:r>
              <w:rPr>
                <w:rFonts w:ascii="Arial" w:cs="Arial" w:eastAsia="华文仿宋" w:hAnsi="Arial" w:hint="eastAsia"/>
                <w:szCs w:val="21"/>
              </w:rPr>
              <w:t>已经翻译的中文专题文章</w:t>
            </w:r>
            <w:r>
              <w:rPr>
                <w:rFonts w:ascii="Arial" w:cs="Arial" w:eastAsia="华文仿宋" w:hAnsi="Arial" w:hint="eastAsia"/>
                <w:szCs w:val="21"/>
                <w:lang w:val="en-US" w:eastAsia="zh-CN"/>
              </w:rPr>
              <w:t>不少于6</w:t>
            </w:r>
            <w:r>
              <w:rPr>
                <w:rFonts w:ascii="Arial" w:cs="Arial" w:eastAsia="华文仿宋" w:hAnsi="Arial" w:hint="eastAsia"/>
                <w:szCs w:val="21"/>
              </w:rPr>
              <w:t>000篇</w:t>
            </w:r>
          </w:p>
        </w:tc>
      </w:tr>
      <w:tr>
        <w:tblPrEx/>
        <w:trPr>
          <w:trHeight w:val="90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3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/>
                <w:szCs w:val="21"/>
              </w:rPr>
              <w:t>临床专题</w:t>
            </w:r>
            <w:r>
              <w:rPr>
                <w:rFonts w:ascii="Arial" w:cs="Arial" w:eastAsia="华文仿宋" w:hAnsi="Arial" w:hint="eastAsia"/>
                <w:szCs w:val="21"/>
              </w:rPr>
              <w:t>撰写</w:t>
            </w:r>
            <w:r>
              <w:rPr>
                <w:rFonts w:ascii="Arial" w:cs="Arial" w:eastAsia="华文仿宋" w:hAnsi="Arial"/>
                <w:szCs w:val="21"/>
              </w:rPr>
              <w:t>遵循</w:t>
            </w:r>
            <w:r>
              <w:rPr>
                <w:rFonts w:ascii="Arial" w:cs="Arial" w:eastAsia="华文仿宋" w:hAnsi="Arial" w:hint="eastAsia"/>
                <w:szCs w:val="21"/>
              </w:rPr>
              <w:t>PICO原则</w:t>
            </w:r>
            <w:r>
              <w:rPr>
                <w:rFonts w:ascii="Arial" w:cs="Arial" w:eastAsia="华文仿宋" w:hAnsi="Arial"/>
                <w:szCs w:val="21"/>
              </w:rPr>
              <w:t>，并提供</w:t>
            </w:r>
            <w:r>
              <w:rPr>
                <w:rFonts w:ascii="Arial" w:cs="Arial" w:eastAsia="华文仿宋" w:hAnsi="Arial" w:hint="eastAsia"/>
                <w:szCs w:val="21"/>
              </w:rPr>
              <w:t>附有</w:t>
            </w:r>
            <w:r>
              <w:rPr>
                <w:rFonts w:ascii="Arial" w:cs="Arial" w:eastAsia="华文仿宋" w:hAnsi="Arial"/>
                <w:szCs w:val="21"/>
              </w:rPr>
              <w:t>GRADE</w:t>
            </w:r>
            <w:r>
              <w:rPr>
                <w:rFonts w:ascii="Arial" w:cs="Arial" w:eastAsia="华文仿宋" w:hAnsi="Arial" w:hint="eastAsia"/>
                <w:szCs w:val="21"/>
              </w:rPr>
              <w:t>分级强度</w:t>
            </w:r>
            <w:r>
              <w:rPr>
                <w:rFonts w:ascii="Arial" w:cs="Arial" w:eastAsia="华文仿宋" w:hAnsi="Arial"/>
                <w:szCs w:val="21"/>
              </w:rPr>
              <w:t>的诊疗推荐意见</w:t>
            </w:r>
          </w:p>
        </w:tc>
      </w:tr>
      <w:tr>
        <w:tblPrEx/>
        <w:trPr>
          <w:trHeight w:val="444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4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 w:hint="eastAsia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药品说明书不低于</w:t>
            </w:r>
            <w:r>
              <w:rPr>
                <w:rFonts w:ascii="Arial" w:cs="Arial" w:eastAsia="华文仿宋" w:hAnsi="Arial" w:hint="eastAsia"/>
                <w:szCs w:val="21"/>
                <w:lang w:val="en-US" w:eastAsia="zh-CN"/>
              </w:rPr>
              <w:t>24</w:t>
            </w:r>
            <w:r>
              <w:rPr>
                <w:rFonts w:ascii="Arial" w:cs="Arial" w:eastAsia="华文仿宋" w:hAnsi="Arial"/>
                <w:szCs w:val="21"/>
              </w:rPr>
              <w:t>00</w:t>
            </w:r>
            <w:r>
              <w:rPr>
                <w:rFonts w:ascii="Arial" w:cs="Arial" w:eastAsia="华文仿宋" w:hAnsi="Arial" w:hint="eastAsia"/>
                <w:szCs w:val="21"/>
              </w:rPr>
              <w:t>种</w:t>
            </w:r>
            <w:bookmarkStart w:id="0" w:name="_GoBack"/>
            <w:bookmarkEnd w:id="0"/>
          </w:p>
        </w:tc>
      </w:tr>
      <w:tr>
        <w:tblPrEx/>
        <w:trPr>
          <w:trHeight w:val="559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5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 w:hint="eastAsia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患者教育</w:t>
            </w:r>
            <w:r>
              <w:rPr>
                <w:rFonts w:ascii="Arial" w:cs="Arial" w:eastAsia="华文仿宋" w:hAnsi="Arial" w:hint="eastAsia"/>
                <w:szCs w:val="21"/>
                <w:lang w:val="en-US" w:eastAsia="zh-CN"/>
              </w:rPr>
              <w:t>专题文章</w:t>
            </w:r>
            <w:r>
              <w:rPr>
                <w:rFonts w:ascii="Arial" w:cs="Arial" w:eastAsia="华文仿宋" w:hAnsi="Arial" w:hint="eastAsia"/>
                <w:szCs w:val="21"/>
              </w:rPr>
              <w:t>不低于1</w:t>
            </w:r>
            <w:r>
              <w:rPr>
                <w:rFonts w:ascii="Arial" w:cs="Arial" w:eastAsia="华文仿宋" w:hAnsi="Arial" w:hint="eastAsia"/>
                <w:szCs w:val="21"/>
                <w:lang w:val="en-US" w:eastAsia="zh-CN"/>
              </w:rPr>
              <w:t>0</w:t>
            </w:r>
            <w:r>
              <w:rPr>
                <w:rFonts w:ascii="Arial" w:cs="Arial" w:eastAsia="华文仿宋" w:hAnsi="Arial"/>
                <w:szCs w:val="21"/>
              </w:rPr>
              <w:t>00</w:t>
            </w:r>
            <w:r>
              <w:rPr>
                <w:rFonts w:ascii="Arial" w:cs="Arial" w:eastAsia="华文仿宋" w:hAnsi="Arial" w:hint="eastAsia"/>
                <w:szCs w:val="21"/>
              </w:rPr>
              <w:t>篇</w:t>
            </w:r>
          </w:p>
        </w:tc>
      </w:tr>
      <w:tr>
        <w:tblPrEx/>
        <w:trPr>
          <w:trHeight w:val="559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6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 w:hint="eastAsia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参考证据文献链接不低于</w:t>
            </w:r>
            <w:r>
              <w:rPr>
                <w:rFonts w:ascii="Arial" w:cs="Arial" w:eastAsia="华文仿宋" w:hAnsi="Arial" w:hint="eastAsia"/>
                <w:szCs w:val="21"/>
                <w:lang w:val="en-US" w:eastAsia="zh-CN"/>
              </w:rPr>
              <w:t>30</w:t>
            </w:r>
            <w:r>
              <w:rPr>
                <w:rFonts w:ascii="Arial" w:cs="Arial" w:eastAsia="华文仿宋" w:hAnsi="Arial"/>
                <w:szCs w:val="21"/>
              </w:rPr>
              <w:t>0000</w:t>
            </w:r>
            <w:r>
              <w:rPr>
                <w:rFonts w:ascii="Arial" w:cs="Arial" w:eastAsia="华文仿宋" w:hAnsi="Arial" w:hint="eastAsia"/>
                <w:szCs w:val="21"/>
              </w:rPr>
              <w:t>条</w:t>
            </w:r>
          </w:p>
        </w:tc>
      </w:tr>
      <w:tr>
        <w:tblPrEx/>
        <w:trPr>
          <w:trHeight w:val="597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7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 w:hint="eastAsia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图片</w:t>
            </w:r>
            <w:r>
              <w:rPr>
                <w:rFonts w:ascii="Arial" w:cs="Arial" w:eastAsia="华文仿宋" w:hAnsi="Arial"/>
                <w:szCs w:val="21"/>
              </w:rPr>
              <w:t>/</w:t>
            </w:r>
            <w:r>
              <w:rPr>
                <w:rFonts w:ascii="Arial" w:cs="Arial" w:eastAsia="华文仿宋" w:hAnsi="Arial" w:hint="eastAsia"/>
                <w:szCs w:val="21"/>
              </w:rPr>
              <w:t>表格</w:t>
            </w:r>
            <w:r>
              <w:rPr>
                <w:rFonts w:ascii="Arial" w:cs="Arial" w:eastAsia="华文仿宋" w:hAnsi="Arial"/>
                <w:szCs w:val="21"/>
              </w:rPr>
              <w:t>/</w:t>
            </w:r>
            <w:r>
              <w:rPr>
                <w:rFonts w:ascii="Arial" w:cs="Arial" w:eastAsia="华文仿宋" w:hAnsi="Arial" w:hint="eastAsia"/>
                <w:szCs w:val="21"/>
              </w:rPr>
              <w:t>视频不低于</w:t>
            </w:r>
            <w:r>
              <w:rPr>
                <w:rFonts w:ascii="Arial" w:cs="Arial" w:eastAsia="华文仿宋" w:hAnsi="Arial" w:hint="eastAsia"/>
                <w:szCs w:val="21"/>
                <w:lang w:val="en-US" w:eastAsia="zh-CN"/>
              </w:rPr>
              <w:t>28</w:t>
            </w:r>
            <w:r>
              <w:rPr>
                <w:rFonts w:ascii="Arial" w:cs="Arial" w:eastAsia="华文仿宋" w:hAnsi="Arial"/>
                <w:szCs w:val="21"/>
              </w:rPr>
              <w:t>000</w:t>
            </w:r>
            <w:r>
              <w:rPr>
                <w:rFonts w:ascii="Arial" w:cs="Arial" w:eastAsia="华文仿宋" w:hAnsi="Arial" w:hint="eastAsia"/>
                <w:szCs w:val="21"/>
              </w:rPr>
              <w:t>个</w:t>
            </w:r>
          </w:p>
        </w:tc>
      </w:tr>
      <w:tr>
        <w:tblPrEx/>
        <w:trPr>
          <w:trHeight w:val="537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8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 w:hint="eastAsia"/>
                <w:szCs w:val="21"/>
              </w:rPr>
            </w:pPr>
            <w:r>
              <w:rPr>
                <w:rFonts w:ascii="Arial" w:cs="Arial" w:eastAsia="华文仿宋" w:hAnsi="Arial"/>
                <w:szCs w:val="21"/>
              </w:rPr>
              <w:t>人性化的中文操作界面，布局应简洁合理</w:t>
            </w:r>
            <w:r>
              <w:rPr>
                <w:rFonts w:ascii="Arial" w:cs="Arial" w:eastAsia="华文仿宋" w:hAnsi="Arial" w:hint="eastAsia"/>
                <w:szCs w:val="21"/>
              </w:rPr>
              <w:t>，并具备多国语言界面切换功能不少于1</w:t>
            </w:r>
            <w:r>
              <w:rPr>
                <w:rFonts w:ascii="Arial" w:cs="Arial" w:eastAsia="华文仿宋" w:hAnsi="Arial"/>
                <w:szCs w:val="21"/>
              </w:rPr>
              <w:t>7</w:t>
            </w:r>
            <w:r>
              <w:rPr>
                <w:rFonts w:ascii="Arial" w:cs="Arial" w:eastAsia="华文仿宋" w:hAnsi="Arial" w:hint="eastAsia"/>
                <w:szCs w:val="21"/>
              </w:rPr>
              <w:t>种外国语言</w:t>
            </w:r>
          </w:p>
        </w:tc>
      </w:tr>
      <w:tr>
        <w:tblPrEx/>
        <w:trPr>
          <w:trHeight w:val="559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9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 w:hint="eastAsia"/>
                <w:szCs w:val="21"/>
              </w:rPr>
            </w:pPr>
            <w:r>
              <w:rPr>
                <w:rFonts w:ascii="Arial" w:cs="Arial" w:eastAsia="华文仿宋" w:hAnsi="Arial"/>
                <w:szCs w:val="21"/>
              </w:rPr>
              <w:t>支持检索疾病名称、症状、检验检查、药品商品名和通用名、英文缩略语，支持多关键词查询，支持中英文检索</w:t>
            </w:r>
          </w:p>
        </w:tc>
      </w:tr>
      <w:tr>
        <w:tblPrEx/>
        <w:trPr>
          <w:trHeight w:val="537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1</w:t>
            </w:r>
            <w:r>
              <w:rPr>
                <w:rFonts w:ascii="Arial" w:cs="Arial" w:eastAsia="华文仿宋" w:hAnsi="Arial"/>
                <w:szCs w:val="21"/>
              </w:rPr>
              <w:t>0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 w:hint="eastAsia"/>
                <w:szCs w:val="21"/>
              </w:rPr>
            </w:pPr>
            <w:r>
              <w:rPr>
                <w:rFonts w:ascii="Arial" w:cs="Arial" w:eastAsia="华文仿宋" w:hAnsi="Arial"/>
                <w:szCs w:val="21"/>
              </w:rPr>
              <w:t>支持根据输入的关键词进行自动联想</w:t>
            </w:r>
          </w:p>
        </w:tc>
      </w:tr>
      <w:tr>
        <w:tblPrEx/>
        <w:trPr>
          <w:trHeight w:val="566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1</w:t>
            </w:r>
            <w:r>
              <w:rPr>
                <w:rFonts w:ascii="Arial" w:cs="Arial" w:eastAsia="华文仿宋" w:hAnsi="Arial"/>
                <w:szCs w:val="21"/>
              </w:rPr>
              <w:t>1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 w:hint="eastAsia"/>
                <w:szCs w:val="21"/>
              </w:rPr>
            </w:pPr>
            <w:r>
              <w:rPr>
                <w:rFonts w:ascii="Arial" w:cs="Arial" w:eastAsia="华文仿宋" w:hAnsi="Arial"/>
                <w:szCs w:val="21"/>
              </w:rPr>
              <w:t>支持对检索结果按照规则进行筛选和重新排序</w:t>
            </w:r>
          </w:p>
        </w:tc>
      </w:tr>
      <w:tr>
        <w:tblPrEx/>
        <w:trPr>
          <w:trHeight w:val="704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1</w:t>
            </w:r>
            <w:r>
              <w:rPr>
                <w:rFonts w:ascii="Arial" w:cs="Arial" w:eastAsia="华文仿宋" w:hAnsi="Arial"/>
                <w:szCs w:val="21"/>
              </w:rPr>
              <w:t>2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 w:hint="eastAsia"/>
                <w:szCs w:val="21"/>
              </w:rPr>
            </w:pPr>
            <w:r>
              <w:rPr>
                <w:rFonts w:ascii="Arial" w:cs="Arial" w:eastAsia="华文仿宋" w:hAnsi="Arial"/>
                <w:szCs w:val="21"/>
              </w:rPr>
              <w:t>支持直接检索与关键词相关的图表</w:t>
            </w:r>
          </w:p>
        </w:tc>
      </w:tr>
      <w:tr>
        <w:tblPrEx/>
        <w:trPr>
          <w:trHeight w:val="581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1</w:t>
            </w:r>
            <w:r>
              <w:rPr>
                <w:rFonts w:ascii="Arial" w:cs="Arial" w:eastAsia="华文仿宋" w:hAnsi="Arial"/>
                <w:szCs w:val="21"/>
              </w:rPr>
              <w:t>3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/>
                <w:szCs w:val="21"/>
              </w:rPr>
              <w:t>支持直接将图表导出至PowerPoint</w:t>
            </w:r>
          </w:p>
        </w:tc>
      </w:tr>
      <w:tr>
        <w:tblPrEx/>
        <w:trPr>
          <w:trHeight w:val="582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1</w:t>
            </w:r>
            <w:r>
              <w:rPr>
                <w:rFonts w:ascii="Arial" w:cs="Arial" w:eastAsia="华文仿宋" w:hAnsi="Arial"/>
                <w:szCs w:val="21"/>
              </w:rPr>
              <w:t>4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/>
                <w:szCs w:val="21"/>
              </w:rPr>
              <w:t>支持医务人员提交反馈意见</w:t>
            </w:r>
          </w:p>
        </w:tc>
      </w:tr>
      <w:tr>
        <w:tblPrEx/>
        <w:trPr>
          <w:trHeight w:val="559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1</w:t>
            </w:r>
            <w:r>
              <w:rPr>
                <w:rFonts w:ascii="Arial" w:cs="Arial" w:eastAsia="华文仿宋" w:hAnsi="Arial"/>
                <w:szCs w:val="21"/>
              </w:rPr>
              <w:t>5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/>
                <w:szCs w:val="21"/>
              </w:rPr>
              <w:t>覆盖的临床专科不少于2</w:t>
            </w:r>
            <w:r>
              <w:rPr>
                <w:rFonts w:ascii="Arial" w:cs="Arial" w:eastAsia="华文仿宋" w:hAnsi="Arial" w:hint="eastAsia"/>
                <w:szCs w:val="21"/>
                <w:lang w:val="en-US" w:eastAsia="zh-CN"/>
              </w:rPr>
              <w:t>0</w:t>
            </w:r>
            <w:r>
              <w:rPr>
                <w:rFonts w:ascii="Arial" w:cs="Arial" w:eastAsia="华文仿宋" w:hAnsi="Arial"/>
                <w:szCs w:val="21"/>
              </w:rPr>
              <w:t>个</w:t>
            </w:r>
          </w:p>
        </w:tc>
      </w:tr>
      <w:tr>
        <w:tblPrEx/>
        <w:trPr>
          <w:trHeight w:val="507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1</w:t>
            </w:r>
            <w:r>
              <w:rPr>
                <w:rFonts w:ascii="Arial" w:cs="Arial" w:eastAsia="华文仿宋" w:hAnsi="Arial"/>
                <w:szCs w:val="21"/>
              </w:rPr>
              <w:t>6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/>
                <w:szCs w:val="21"/>
              </w:rPr>
              <w:t>临床专题</w:t>
            </w:r>
            <w:r>
              <w:rPr>
                <w:rFonts w:ascii="Arial" w:cs="Arial" w:eastAsia="华文仿宋" w:hAnsi="Arial" w:hint="eastAsia"/>
                <w:szCs w:val="21"/>
              </w:rPr>
              <w:t>内容</w:t>
            </w:r>
            <w:r>
              <w:rPr>
                <w:rFonts w:ascii="Arial" w:cs="Arial" w:eastAsia="华文仿宋" w:hAnsi="Arial"/>
                <w:szCs w:val="21"/>
              </w:rPr>
              <w:t>应</w:t>
            </w:r>
            <w:r>
              <w:rPr>
                <w:rFonts w:ascii="Arial" w:cs="Arial" w:eastAsia="华文仿宋" w:hAnsi="Arial" w:hint="eastAsia"/>
                <w:szCs w:val="21"/>
              </w:rPr>
              <w:t>覆盖</w:t>
            </w:r>
            <w:r>
              <w:rPr>
                <w:rFonts w:ascii="Arial" w:cs="Arial" w:eastAsia="华文仿宋" w:hAnsi="Arial"/>
                <w:szCs w:val="21"/>
              </w:rPr>
              <w:t>疾病的病因、发病机制、诊断、治疗、预后、预防等方面</w:t>
            </w:r>
          </w:p>
        </w:tc>
      </w:tr>
      <w:tr>
        <w:tblPrEx/>
        <w:trPr>
          <w:trHeight w:val="514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1</w:t>
            </w:r>
            <w:r>
              <w:rPr>
                <w:rFonts w:ascii="Arial" w:cs="Arial" w:eastAsia="华文仿宋" w:hAnsi="Arial"/>
                <w:szCs w:val="21"/>
              </w:rPr>
              <w:t>7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每篇</w:t>
            </w:r>
            <w:r>
              <w:rPr>
                <w:rFonts w:ascii="Arial" w:cs="Arial" w:eastAsia="华文仿宋" w:hAnsi="Arial"/>
                <w:szCs w:val="21"/>
              </w:rPr>
              <w:t>专题</w:t>
            </w:r>
            <w:r>
              <w:rPr>
                <w:rFonts w:ascii="Arial" w:cs="Arial" w:eastAsia="华文仿宋" w:hAnsi="Arial" w:hint="eastAsia"/>
                <w:szCs w:val="21"/>
              </w:rPr>
              <w:t>附有</w:t>
            </w:r>
            <w:r>
              <w:rPr>
                <w:rFonts w:ascii="Arial" w:cs="Arial" w:eastAsia="华文仿宋" w:hAnsi="Arial"/>
                <w:szCs w:val="21"/>
              </w:rPr>
              <w:t>简明扼要的提纲，便于快速定位至相关章节</w:t>
            </w:r>
          </w:p>
        </w:tc>
      </w:tr>
      <w:tr>
        <w:tblPrEx/>
        <w:trPr>
          <w:trHeight w:val="544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1</w:t>
            </w:r>
            <w:r>
              <w:rPr>
                <w:rFonts w:ascii="Arial" w:cs="Arial" w:eastAsia="华文仿宋" w:hAnsi="Arial"/>
                <w:szCs w:val="21"/>
              </w:rPr>
              <w:t>8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应</w:t>
            </w:r>
            <w:r>
              <w:rPr>
                <w:rFonts w:ascii="Arial" w:cs="Arial" w:eastAsia="华文仿宋" w:hAnsi="Arial"/>
                <w:szCs w:val="21"/>
              </w:rPr>
              <w:t>提供临床指南链接，</w:t>
            </w:r>
            <w:r>
              <w:rPr>
                <w:rFonts w:ascii="Arial" w:cs="Arial" w:eastAsia="华文仿宋" w:hAnsi="Arial" w:hint="eastAsia"/>
                <w:szCs w:val="21"/>
              </w:rPr>
              <w:t>应覆盖</w:t>
            </w:r>
            <w:r>
              <w:rPr>
                <w:rFonts w:ascii="Arial" w:cs="Arial" w:eastAsia="华文仿宋" w:hAnsi="Arial"/>
                <w:szCs w:val="21"/>
              </w:rPr>
              <w:t>不少于</w:t>
            </w:r>
            <w:r>
              <w:rPr>
                <w:rFonts w:ascii="Arial" w:cs="Arial" w:eastAsia="华文仿宋" w:hAnsi="Arial" w:hint="eastAsia"/>
                <w:szCs w:val="21"/>
              </w:rPr>
              <w:t>全球5个</w:t>
            </w:r>
            <w:r>
              <w:rPr>
                <w:rFonts w:ascii="Arial" w:cs="Arial" w:eastAsia="华文仿宋" w:hAnsi="Arial"/>
                <w:szCs w:val="21"/>
              </w:rPr>
              <w:t>国家及</w:t>
            </w:r>
            <w:r>
              <w:rPr>
                <w:rFonts w:ascii="Arial" w:cs="Arial" w:eastAsia="华文仿宋" w:hAnsi="Arial" w:hint="eastAsia"/>
                <w:szCs w:val="21"/>
              </w:rPr>
              <w:t>地区</w:t>
            </w:r>
            <w:r>
              <w:rPr>
                <w:rFonts w:ascii="Arial" w:cs="Arial" w:eastAsia="华文仿宋" w:hAnsi="Arial"/>
                <w:szCs w:val="21"/>
              </w:rPr>
              <w:t>的指南内容</w:t>
            </w:r>
          </w:p>
        </w:tc>
      </w:tr>
      <w:tr>
        <w:tblPrEx/>
        <w:trPr>
          <w:trHeight w:val="704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1</w:t>
            </w:r>
            <w:r>
              <w:rPr>
                <w:rFonts w:ascii="Arial" w:cs="Arial" w:eastAsia="华文仿宋" w:hAnsi="Arial"/>
                <w:szCs w:val="21"/>
              </w:rPr>
              <w:t>9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/>
                <w:szCs w:val="21"/>
              </w:rPr>
              <w:t>应提供不少于1</w:t>
            </w:r>
            <w:r>
              <w:rPr>
                <w:rFonts w:ascii="Arial" w:cs="Arial" w:eastAsia="华文仿宋" w:hAnsi="Arial" w:hint="eastAsia"/>
                <w:szCs w:val="21"/>
                <w:lang w:val="en-US" w:eastAsia="zh-CN"/>
              </w:rPr>
              <w:t>6</w:t>
            </w:r>
            <w:r>
              <w:rPr>
                <w:rFonts w:ascii="Arial" w:cs="Arial" w:eastAsia="华文仿宋" w:hAnsi="Arial"/>
                <w:szCs w:val="21"/>
              </w:rPr>
              <w:t>0个医学计算器</w:t>
            </w:r>
          </w:p>
        </w:tc>
      </w:tr>
      <w:tr>
        <w:tblPrEx/>
        <w:trPr>
          <w:trHeight w:val="559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2</w:t>
            </w:r>
            <w:r>
              <w:rPr>
                <w:rFonts w:ascii="Arial" w:cs="Arial" w:eastAsia="华文仿宋" w:hAnsi="Arial"/>
                <w:szCs w:val="21"/>
              </w:rPr>
              <w:t>0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/>
                <w:szCs w:val="21"/>
              </w:rPr>
              <w:t>应提供不少于</w:t>
            </w:r>
            <w:r>
              <w:rPr>
                <w:rFonts w:ascii="Arial" w:cs="Arial" w:eastAsia="华文仿宋" w:hAnsi="Arial" w:hint="eastAsia"/>
                <w:szCs w:val="21"/>
                <w:lang w:val="en-US" w:eastAsia="zh-CN"/>
              </w:rPr>
              <w:t>4</w:t>
            </w:r>
            <w:r>
              <w:rPr>
                <w:rFonts w:ascii="Arial" w:cs="Arial" w:eastAsia="华文仿宋" w:hAnsi="Arial"/>
                <w:szCs w:val="21"/>
              </w:rPr>
              <w:t>000</w:t>
            </w:r>
            <w:r>
              <w:rPr>
                <w:rFonts w:ascii="Arial" w:cs="Arial" w:eastAsia="华文仿宋" w:hAnsi="Arial" w:hint="eastAsia"/>
                <w:szCs w:val="21"/>
                <w:lang w:val="en-US" w:eastAsia="zh-CN"/>
              </w:rPr>
              <w:t>篇</w:t>
            </w:r>
            <w:r>
              <w:rPr>
                <w:rFonts w:ascii="Arial" w:cs="Arial" w:eastAsia="华文仿宋" w:hAnsi="Arial"/>
                <w:szCs w:val="21"/>
              </w:rPr>
              <w:t>英文药物</w:t>
            </w:r>
            <w:r>
              <w:rPr>
                <w:rFonts w:ascii="Arial" w:cs="Arial" w:eastAsia="华文仿宋" w:hAnsi="Arial" w:hint="eastAsia"/>
                <w:szCs w:val="21"/>
                <w:lang w:val="en-US" w:eastAsia="zh-CN"/>
              </w:rPr>
              <w:t>专论</w:t>
            </w:r>
            <w:r>
              <w:rPr>
                <w:rFonts w:ascii="Arial" w:cs="Arial" w:eastAsia="华文仿宋" w:hAnsi="Arial"/>
                <w:szCs w:val="21"/>
              </w:rPr>
              <w:t>和不少于</w:t>
            </w:r>
            <w:r>
              <w:rPr>
                <w:rFonts w:ascii="Arial" w:cs="Arial" w:eastAsia="华文仿宋" w:hAnsi="Arial" w:hint="eastAsia"/>
                <w:szCs w:val="21"/>
                <w:lang w:val="en-US" w:eastAsia="zh-CN"/>
              </w:rPr>
              <w:t>8</w:t>
            </w:r>
            <w:r>
              <w:rPr>
                <w:rFonts w:ascii="Arial" w:cs="Arial" w:eastAsia="华文仿宋" w:hAnsi="Arial"/>
                <w:szCs w:val="21"/>
              </w:rPr>
              <w:t>00</w:t>
            </w:r>
            <w:r>
              <w:rPr>
                <w:rFonts w:ascii="Arial" w:cs="Arial" w:eastAsia="华文仿宋" w:hAnsi="Arial" w:hint="eastAsia"/>
                <w:szCs w:val="21"/>
                <w:lang w:val="en-US" w:eastAsia="zh-CN"/>
              </w:rPr>
              <w:t>篇</w:t>
            </w:r>
            <w:r>
              <w:rPr>
                <w:rFonts w:ascii="Arial" w:cs="Arial" w:eastAsia="华文仿宋" w:hAnsi="Arial"/>
                <w:szCs w:val="21"/>
              </w:rPr>
              <w:t>中文药物</w:t>
            </w:r>
            <w:r>
              <w:rPr>
                <w:rFonts w:ascii="Arial" w:cs="Arial" w:eastAsia="华文仿宋" w:hAnsi="Arial" w:hint="eastAsia"/>
                <w:szCs w:val="21"/>
                <w:lang w:val="en-US" w:eastAsia="zh-CN"/>
              </w:rPr>
              <w:t>专论</w:t>
            </w:r>
          </w:p>
        </w:tc>
      </w:tr>
      <w:tr>
        <w:tblPrEx/>
        <w:trPr>
          <w:trHeight w:val="551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2</w:t>
            </w:r>
            <w:r>
              <w:rPr>
                <w:rFonts w:ascii="Arial" w:cs="Arial" w:eastAsia="华文仿宋" w:hAnsi="Arial"/>
                <w:szCs w:val="21"/>
              </w:rPr>
              <w:t>1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 w:hint="eastAsia"/>
                <w:szCs w:val="21"/>
                <w:lang w:val="en-US" w:eastAsia="zh-CN"/>
              </w:rPr>
            </w:pPr>
            <w:r>
              <w:rPr>
                <w:rFonts w:ascii="Arial" w:cs="Arial" w:eastAsia="华文仿宋" w:hAnsi="Arial"/>
                <w:szCs w:val="21"/>
              </w:rPr>
              <w:t>应提供药物相互作用工具，提供风险评级、总结、严重程度及其可靠性评级、患者处理、讨论和参考文献等信息</w:t>
            </w:r>
          </w:p>
        </w:tc>
      </w:tr>
      <w:tr>
        <w:tblPrEx/>
        <w:trPr>
          <w:trHeight w:val="544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2</w:t>
            </w:r>
            <w:r>
              <w:rPr>
                <w:rFonts w:ascii="Arial" w:cs="Arial" w:eastAsia="华文仿宋" w:hAnsi="Arial"/>
                <w:szCs w:val="21"/>
              </w:rPr>
              <w:t>2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/>
                <w:szCs w:val="21"/>
              </w:rPr>
              <w:t>应提供用简单平实语言撰写的患者教育信息，便于专业人员与患者进行有效沟通</w:t>
            </w:r>
          </w:p>
        </w:tc>
      </w:tr>
      <w:tr>
        <w:tblPrEx/>
        <w:trPr>
          <w:trHeight w:val="704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2</w:t>
            </w:r>
            <w:r>
              <w:rPr>
                <w:rFonts w:ascii="Arial" w:cs="Arial" w:eastAsia="华文仿宋" w:hAnsi="Arial"/>
                <w:szCs w:val="21"/>
              </w:rPr>
              <w:t>3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/>
                <w:szCs w:val="21"/>
              </w:rPr>
              <w:t>应提供帮助医务人员进行医学继续教育的内容，包括教程、测试、案例以及常见生物学和流行病学术语词汇表等</w:t>
            </w:r>
          </w:p>
        </w:tc>
      </w:tr>
      <w:tr>
        <w:tblPrEx/>
        <w:trPr>
          <w:trHeight w:val="704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2</w:t>
            </w:r>
            <w:r>
              <w:rPr>
                <w:rFonts w:ascii="Arial" w:cs="Arial" w:eastAsia="华文仿宋" w:hAnsi="Arial"/>
                <w:szCs w:val="21"/>
              </w:rPr>
              <w:t>4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/>
                <w:szCs w:val="21"/>
              </w:rPr>
              <w:t>数据来源包括但不限于专业期刊、主要临床指南、学术会议共识</w:t>
            </w:r>
          </w:p>
        </w:tc>
      </w:tr>
      <w:tr>
        <w:tblPrEx/>
        <w:trPr>
          <w:trHeight w:val="704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2</w:t>
            </w:r>
            <w:r>
              <w:rPr>
                <w:rFonts w:ascii="Arial" w:cs="Arial" w:eastAsia="华文仿宋" w:hAnsi="Arial"/>
                <w:szCs w:val="21"/>
              </w:rPr>
              <w:t>5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/>
                <w:szCs w:val="21"/>
              </w:rPr>
              <w:t>所有专题应有参考文献并</w:t>
            </w:r>
            <w:r>
              <w:rPr>
                <w:rFonts w:ascii="Arial" w:cs="Arial" w:eastAsia="华文仿宋" w:hAnsi="Arial" w:hint="eastAsia"/>
                <w:szCs w:val="21"/>
              </w:rPr>
              <w:t>在产品内可查看</w:t>
            </w:r>
            <w:r>
              <w:rPr>
                <w:rFonts w:ascii="Arial" w:cs="Arial" w:eastAsia="华文仿宋" w:hAnsi="Arial"/>
                <w:szCs w:val="21"/>
              </w:rPr>
              <w:t>摘要原文，在专题中还应提供相应的PubMed链接</w:t>
            </w:r>
          </w:p>
        </w:tc>
      </w:tr>
      <w:tr>
        <w:tblPrEx/>
        <w:trPr>
          <w:trHeight w:val="704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2</w:t>
            </w:r>
            <w:r>
              <w:rPr>
                <w:rFonts w:ascii="Arial" w:cs="Arial" w:eastAsia="华文仿宋" w:hAnsi="Arial"/>
                <w:szCs w:val="21"/>
              </w:rPr>
              <w:t>6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/>
                <w:szCs w:val="21"/>
              </w:rPr>
              <w:t>所有专题均详细列出所有与专题相关的人名、职称以及供职机构</w:t>
            </w:r>
          </w:p>
        </w:tc>
      </w:tr>
      <w:tr>
        <w:tblPrEx/>
        <w:trPr>
          <w:trHeight w:val="492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2</w:t>
            </w:r>
            <w:r>
              <w:rPr>
                <w:rFonts w:ascii="Arial" w:cs="Arial" w:eastAsia="华文仿宋" w:hAnsi="Arial"/>
                <w:szCs w:val="21"/>
              </w:rPr>
              <w:t>7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/>
                <w:szCs w:val="21"/>
              </w:rPr>
              <w:t>所有专题均详细列出所有专题的公开性原则和利益矛盾的解决方案</w:t>
            </w:r>
          </w:p>
        </w:tc>
      </w:tr>
      <w:tr>
        <w:tblPrEx/>
        <w:trPr>
          <w:trHeight w:val="704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2</w:t>
            </w:r>
            <w:r>
              <w:rPr>
                <w:rFonts w:ascii="Arial" w:cs="Arial" w:eastAsia="华文仿宋" w:hAnsi="Arial"/>
                <w:szCs w:val="21"/>
              </w:rPr>
              <w:t>8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内容应</w:t>
            </w:r>
            <w:r>
              <w:rPr>
                <w:rFonts w:ascii="Arial" w:cs="Arial" w:eastAsia="华文仿宋" w:hAnsi="Arial"/>
                <w:szCs w:val="21"/>
              </w:rPr>
              <w:t>保证</w:t>
            </w:r>
            <w:r>
              <w:rPr>
                <w:rFonts w:ascii="Arial" w:cs="Arial" w:eastAsia="华文仿宋" w:hAnsi="Arial" w:hint="eastAsia"/>
                <w:szCs w:val="21"/>
                <w:lang w:val="en-US" w:eastAsia="zh-CN"/>
              </w:rPr>
              <w:t>及</w:t>
            </w:r>
            <w:r>
              <w:rPr>
                <w:rFonts w:ascii="Arial" w:cs="Arial" w:eastAsia="华文仿宋" w:hAnsi="Arial"/>
                <w:szCs w:val="21"/>
              </w:rPr>
              <w:t>时</w:t>
            </w:r>
            <w:r>
              <w:rPr>
                <w:rFonts w:ascii="Arial" w:cs="Arial" w:eastAsia="华文仿宋" w:hAnsi="Arial" w:hint="eastAsia"/>
                <w:szCs w:val="21"/>
              </w:rPr>
              <w:t>在线</w:t>
            </w:r>
            <w:r>
              <w:rPr>
                <w:rFonts w:ascii="Arial" w:cs="Arial" w:eastAsia="华文仿宋" w:hAnsi="Arial"/>
                <w:szCs w:val="21"/>
              </w:rPr>
              <w:t>自动更新，</w:t>
            </w:r>
            <w:r>
              <w:rPr>
                <w:rFonts w:ascii="Arial" w:cs="Arial" w:eastAsia="华文仿宋" w:hAnsi="Arial" w:hint="eastAsia"/>
                <w:szCs w:val="21"/>
              </w:rPr>
              <w:t>无需下载离线资料包；对于临床专题中非常重要的更新，应在非常明显之处予以说明。</w:t>
            </w:r>
          </w:p>
        </w:tc>
      </w:tr>
      <w:tr>
        <w:tblPrEx/>
        <w:trPr>
          <w:trHeight w:val="589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2</w:t>
            </w:r>
            <w:r>
              <w:rPr>
                <w:rFonts w:ascii="Arial" w:cs="Arial" w:eastAsia="华文仿宋" w:hAnsi="Arial"/>
                <w:szCs w:val="21"/>
              </w:rPr>
              <w:t>9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/>
                <w:szCs w:val="21"/>
              </w:rPr>
              <w:t>应清晰列出专题相关参考文献的评阅时间</w:t>
            </w:r>
            <w:r>
              <w:rPr>
                <w:rFonts w:ascii="Arial" w:cs="Arial" w:eastAsia="华文仿宋" w:hAnsi="Arial" w:hint="eastAsia"/>
                <w:szCs w:val="21"/>
              </w:rPr>
              <w:t>（精确到月）</w:t>
            </w:r>
            <w:r>
              <w:rPr>
                <w:rFonts w:ascii="Arial" w:cs="Arial" w:eastAsia="华文仿宋" w:hAnsi="Arial"/>
                <w:szCs w:val="21"/>
              </w:rPr>
              <w:t>以及专题最后更新时间</w:t>
            </w:r>
            <w:r>
              <w:rPr>
                <w:rFonts w:ascii="Arial" w:cs="Arial" w:eastAsia="华文仿宋" w:hAnsi="Arial" w:hint="eastAsia"/>
                <w:szCs w:val="21"/>
              </w:rPr>
              <w:t>(精确到日</w:t>
            </w:r>
            <w:r>
              <w:rPr>
                <w:rFonts w:ascii="Arial" w:cs="Arial" w:eastAsia="华文仿宋" w:hAnsi="Arial"/>
                <w:szCs w:val="21"/>
              </w:rPr>
              <w:t>)</w:t>
            </w:r>
          </w:p>
        </w:tc>
      </w:tr>
      <w:tr>
        <w:tblPrEx/>
        <w:trPr>
          <w:trHeight w:val="529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3</w:t>
            </w:r>
            <w:r>
              <w:rPr>
                <w:rFonts w:ascii="Arial" w:cs="Arial" w:eastAsia="华文仿宋" w:hAnsi="Arial"/>
                <w:szCs w:val="21"/>
              </w:rPr>
              <w:t>0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/>
                <w:szCs w:val="21"/>
              </w:rPr>
              <w:t>“</w:t>
            </w:r>
            <w:r>
              <w:rPr>
                <w:rFonts w:ascii="Arial" w:cs="Arial" w:eastAsia="华文仿宋" w:hAnsi="Arial" w:hint="eastAsia"/>
                <w:szCs w:val="21"/>
                <w:lang w:val="en-US" w:eastAsia="zh-CN"/>
              </w:rPr>
              <w:t>系统</w:t>
            </w:r>
            <w:r>
              <w:rPr>
                <w:rFonts w:ascii="Arial" w:cs="Arial" w:eastAsia="华文仿宋" w:hAnsi="Arial"/>
                <w:szCs w:val="21"/>
              </w:rPr>
              <w:t>”应按照不同的临床专科，将最近6个月内该专科内不同疾病专题的更新内容，采用非常清晰地方式列出；</w:t>
            </w:r>
          </w:p>
        </w:tc>
      </w:tr>
      <w:tr>
        <w:tblPrEx/>
        <w:trPr>
          <w:trHeight w:val="704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3</w:t>
            </w:r>
            <w:r>
              <w:rPr>
                <w:rFonts w:ascii="Arial" w:cs="Arial" w:eastAsia="华文仿宋" w:hAnsi="Arial"/>
                <w:szCs w:val="21"/>
              </w:rPr>
              <w:t>1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/>
                <w:szCs w:val="21"/>
              </w:rPr>
              <w:t>其检索浏览应方便快捷，不应增加现有服务器及网络负担</w:t>
            </w:r>
          </w:p>
        </w:tc>
      </w:tr>
      <w:tr>
        <w:tblPrEx/>
        <w:trPr>
          <w:trHeight w:val="704" w:hRule="atLeast"/>
          <w:jc w:val="center"/>
        </w:trPr>
        <w:tc>
          <w:tcPr>
            <w:tcW w:w="310" w:type="pct"/>
            <w:tcBorders/>
            <w:vAlign w:val="center"/>
          </w:tcPr>
          <w:p>
            <w:pPr>
              <w:pStyle w:val="style157"/>
              <w:jc w:val="center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3</w:t>
            </w:r>
            <w:r>
              <w:rPr>
                <w:rFonts w:ascii="Arial" w:cs="Arial" w:eastAsia="华文仿宋" w:hAnsi="Arial"/>
                <w:szCs w:val="21"/>
              </w:rPr>
              <w:t>2</w:t>
            </w:r>
          </w:p>
        </w:tc>
        <w:tc>
          <w:tcPr>
            <w:tcW w:w="4689" w:type="pct"/>
            <w:tcBorders/>
            <w:vAlign w:val="center"/>
          </w:tcPr>
          <w:p>
            <w:pPr>
              <w:pStyle w:val="style157"/>
              <w:rPr>
                <w:rFonts w:ascii="Arial" w:cs="Arial" w:eastAsia="华文仿宋" w:hAnsi="Arial"/>
                <w:szCs w:val="21"/>
              </w:rPr>
            </w:pPr>
            <w:r>
              <w:rPr>
                <w:rFonts w:ascii="Arial" w:cs="Arial" w:eastAsia="华文仿宋" w:hAnsi="Arial" w:hint="eastAsia"/>
                <w:szCs w:val="21"/>
              </w:rPr>
              <w:t>提供固定的院内</w:t>
            </w:r>
            <w:r>
              <w:rPr>
                <w:rFonts w:ascii="Arial" w:cs="Arial" w:eastAsia="华文仿宋" w:hAnsi="Arial" w:hint="eastAsia"/>
                <w:szCs w:val="21"/>
                <w:lang w:val="en-US" w:eastAsia="zh-CN"/>
              </w:rPr>
              <w:t>IP</w:t>
            </w:r>
            <w:r>
              <w:rPr>
                <w:rFonts w:ascii="Arial" w:cs="Arial" w:eastAsia="华文仿宋" w:hAnsi="Arial" w:hint="eastAsia"/>
                <w:szCs w:val="21"/>
              </w:rPr>
              <w:t>访问方式，不限访问人数和次数的限制，无需额外</w:t>
            </w:r>
            <w:r>
              <w:rPr>
                <w:rFonts w:ascii="Arial" w:cs="Arial" w:eastAsia="华文仿宋" w:hAnsi="Arial" w:hint="eastAsia"/>
                <w:szCs w:val="21"/>
                <w:lang w:val="en-US" w:eastAsia="zh-CN"/>
              </w:rPr>
              <w:t>维护</w:t>
            </w:r>
            <w:r>
              <w:rPr>
                <w:rFonts w:ascii="Arial" w:cs="Arial" w:eastAsia="华文仿宋" w:hAnsi="Arial" w:hint="eastAsia"/>
                <w:szCs w:val="21"/>
              </w:rPr>
              <w:t>工作</w:t>
            </w:r>
            <w:r>
              <w:rPr>
                <w:rFonts w:ascii="Arial" w:cs="Arial" w:eastAsia="华文仿宋" w:hAnsi="Arial" w:hint="eastAsia"/>
                <w:szCs w:val="21"/>
                <w:lang w:eastAsia="zh-CN"/>
              </w:rPr>
              <w:t>。</w:t>
            </w:r>
          </w:p>
        </w:tc>
      </w:tr>
    </w:tbl>
    <w:p>
      <w:pPr>
        <w:pStyle w:val="style0"/>
        <w:rPr>
          <w:rFonts w:hint="eastAsia"/>
        </w:rPr>
      </w:pPr>
    </w:p>
    <w:p>
      <w:pPr>
        <w:pStyle w:val="style0"/>
        <w:adjustRightInd w:val="false"/>
        <w:snapToGrid w:val="false"/>
        <w:spacing w:lineRule="auto" w:line="360"/>
        <w:jc w:val="left"/>
        <w:rPr>
          <w:rFonts w:ascii="等线" w:eastAsia="等线" w:hAnsi="等线" w:hint="default"/>
          <w:b/>
          <w:bCs/>
          <w:sz w:val="20"/>
          <w:szCs w:val="20"/>
          <w:lang w:val="en-US"/>
        </w:rPr>
      </w:pPr>
    </w:p>
    <w:p>
      <w:pPr>
        <w:pStyle w:val="style0"/>
        <w:rPr>
          <w:sz w:val="16"/>
          <w:szCs w:val="20"/>
        </w:rPr>
      </w:pPr>
      <w:r>
        <w:rPr>
          <w:rFonts w:ascii="等线" w:eastAsia="等线" w:hAnsi="等线"/>
          <w:sz w:val="20"/>
          <w:szCs w:val="20"/>
        </w:rPr>
        <w:t xml:space="preserve"> </w:t>
      </w:r>
    </w:p>
    <w:p>
      <w:pPr>
        <w:pStyle w:val="style0"/>
        <w:rPr>
          <w:rFonts w:hint="eastAsia"/>
          <w:sz w:val="16"/>
          <w:szCs w:val="20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  <w:font w:name="微软雅黑">
    <w:altName w:val="微软雅黑"/>
    <w:panose1 w:val="020b0503020002020204"/>
    <w:charset w:val="86"/>
    <w:family w:val="swiss"/>
    <w:pitch w:val="default"/>
    <w:sig w:usb0="80000287" w:usb1="2ACF3C50" w:usb2="00000016" w:usb3="00000000" w:csb0="0004001F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华文仿宋"/>
    <w:panose1 w:val="020106000400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</w:rPr>
    </w:rPrDefault>
    <w:pPrDefault>
      <w:pPr/>
    </w:pPrDefault>
  </w:docDefaults>
  <w:style w:type="paragraph" w:default="1" w:styleId="style0">
    <w:name w:val="Normal"/>
    <w:next w:val="style13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3">
    <w:name w:val="index 4"/>
    <w:basedOn w:val="style0"/>
    <w:next w:val="style0"/>
    <w:qFormat/>
    <w:uiPriority w:val="99"/>
    <w:pPr>
      <w:ind w:left="600" w:leftChars="600"/>
    </w:pPr>
    <w:rPr>
      <w:szCs w:val="20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等线" w:cs="宋体" w:eastAsia="等线" w:hAnsi="等线"/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等线" w:cs="宋体" w:eastAsia="等线" w:hAnsi="等线"/>
      <w:sz w:val="18"/>
      <w:szCs w:val="18"/>
    </w:rPr>
  </w:style>
  <w:style w:type="table" w:styleId="style154">
    <w:name w:val="Table Grid"/>
    <w:basedOn w:val="style105"/>
    <w:next w:val="style154"/>
    <w:qFormat/>
    <w:uiPriority w:val="59"/>
    <w:pPr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customStyle="1" w:styleId="style4097">
    <w:name w:val="页眉 字符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sz w:val="18"/>
      <w:szCs w:val="18"/>
    </w:rPr>
  </w:style>
  <w:style w:type="paragraph" w:styleId="style157">
    <w:name w:val="No Spacing"/>
    <w:next w:val="style157"/>
    <w:qFormat/>
    <w:uiPriority w:val="1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paragraph" w:customStyle="1" w:styleId="style4099">
    <w:name w:val="Default"/>
    <w:next w:val="style4099"/>
    <w:qFormat/>
    <w:uiPriority w:val="0"/>
    <w:pPr>
      <w:widowControl w:val="false"/>
      <w:autoSpaceDE w:val="false"/>
      <w:autoSpaceDN w:val="false"/>
      <w:adjustRightInd w:val="false"/>
    </w:pPr>
    <w:rPr>
      <w:rFonts w:ascii="微软雅黑" w:cs="微软雅黑" w:eastAsia="微软雅黑" w:hAnsi="等线"/>
      <w:color w:val="000000"/>
      <w:kern w:val="0"/>
      <w:sz w:val="24"/>
      <w:szCs w:val="24"/>
      <w:lang w:val="en-US" w:bidi="ar-SA" w:eastAsia="zh-CN"/>
    </w:rPr>
  </w:style>
  <w:style w:type="paragraph" w:customStyle="1" w:styleId="style4100">
    <w:name w:val="x_msonormal"/>
    <w:basedOn w:val="style0"/>
    <w:next w:val="style4100"/>
    <w:qFormat/>
    <w:uiPriority w:val="0"/>
    <w:pPr>
      <w:widowControl/>
    </w:pPr>
    <w:rPr>
      <w:rFonts w:ascii="等线" w:cs="宋体" w:eastAsia="等线" w:hAnsi="等线"/>
      <w:kern w:val="0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932</Words>
  <Pages>3</Pages>
  <Characters>1014</Characters>
  <Application>WPS Office</Application>
  <DocSecurity>0</DocSecurity>
  <Paragraphs>105</Paragraphs>
  <ScaleCrop>false</ScaleCrop>
  <Company>P R C</Company>
  <LinksUpToDate>false</LinksUpToDate>
  <CharactersWithSpaces>1015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2019-12-02T06:14:00Z</dcterms:created>
  <dc:creator>陈思琪</dc:creator>
  <lastModifiedBy>TAS-AN00</lastModifiedBy>
  <dcterms:modified xsi:type="dcterms:W3CDTF">2022-06-14T02:04:15Z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91F0390C82324B9AB629856160137A4B</vt:lpwstr>
  </property>
</Properties>
</file>