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附件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</w:t>
      </w:r>
      <w:r>
        <w:rPr>
          <w:rFonts w:ascii="宋体" w:hAnsi="宋体" w:eastAsia="宋体" w:cs="宋体"/>
          <w:sz w:val="24"/>
        </w:rPr>
        <w:t>同型半胱氨酸介导组织蛋白酶V在川崎病冠状动脉损伤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sz w:val="24"/>
        </w:rPr>
        <w:t>的作用及机制研究</w:t>
      </w:r>
      <w:r>
        <w:rPr>
          <w:rFonts w:hint="eastAsia"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  <w:lang w:eastAsia="zh-CN"/>
        </w:rPr>
        <w:t>外包服务项目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科研合同招标要求</w:t>
      </w:r>
    </w:p>
    <w:p>
      <w:pPr>
        <w:spacing w:line="36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检测</w:t>
      </w:r>
      <w:r>
        <w:rPr>
          <w:rFonts w:hint="eastAsia" w:ascii="宋体" w:hAnsi="宋体" w:eastAsia="宋体" w:cs="宋体"/>
          <w:sz w:val="24"/>
        </w:rPr>
        <w:t>送检的</w:t>
      </w:r>
      <w:r>
        <w:rPr>
          <w:rFonts w:ascii="宋体" w:hAnsi="宋体" w:eastAsia="宋体" w:cs="宋体"/>
          <w:sz w:val="24"/>
        </w:rPr>
        <w:t>儿童血清标</w:t>
      </w:r>
      <w:r>
        <w:rPr>
          <w:rFonts w:hint="eastAsia" w:ascii="宋体" w:hAnsi="宋体" w:eastAsia="宋体" w:cs="宋体"/>
          <w:sz w:val="24"/>
        </w:rPr>
        <w:t>本中</w:t>
      </w:r>
      <w:r>
        <w:rPr>
          <w:rFonts w:ascii="宋体" w:hAnsi="宋体" w:eastAsia="宋体" w:cs="宋体"/>
          <w:sz w:val="24"/>
        </w:rPr>
        <w:t xml:space="preserve">同型半胱氨酸、组织蛋白酶 V及VEGFR-1、 TNF-α, IL-1β, IL-6，IL-8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表达水平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建立小鼠川崎病冠状动脉炎的模型，检测野生型小鼠体内的同型半胱氨酸、组织蛋白酶 V 在病变过程中的表达水平及分布情况。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ascii="宋体" w:hAnsi="宋体" w:eastAsia="宋体" w:cs="宋体"/>
          <w:sz w:val="24"/>
        </w:rPr>
        <w:t>检测野生型小鼠及 HCY(-/-)小鼠及 Cathepsin V （-/-）心脏炎症反应相关因子 VEGFR-1、 TNF-α, IL-1β , IL-6，IL-8 表达水平及小鼠冠状动脉损害情况。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ascii="宋体" w:hAnsi="宋体" w:eastAsia="宋体" w:cs="宋体"/>
          <w:sz w:val="24"/>
        </w:rPr>
        <w:t>体外培养人冠状动脉内皮细胞(HCAECs), 使用同型半胱氨酸、信号通路抑制剂刺激 HCAECs，检测炎症相关细胞因子 VEGFR-1,TNF-α, IL-1β , IL-6,IL-8 表达水平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（注：以上每一项均要求达到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50人份以上标本结果）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6158496">
    <w:nsid w:val="5F237220"/>
    <w:multiLevelType w:val="singleLevel"/>
    <w:tmpl w:val="5F237220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961584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1BD9"/>
    <w:rsid w:val="005800EF"/>
    <w:rsid w:val="00714756"/>
    <w:rsid w:val="00D11BD9"/>
    <w:rsid w:val="00F3730C"/>
    <w:rsid w:val="23452AD9"/>
    <w:rsid w:val="245917D4"/>
    <w:rsid w:val="38377418"/>
    <w:rsid w:val="3BC846C6"/>
    <w:rsid w:val="77F827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2020-07-28T05:46:00Z</dcterms:created>
  <dc:creator>Administrator</dc:creator>
  <cp:lastModifiedBy>袁勇</cp:lastModifiedBy>
  <dcterms:modified xsi:type="dcterms:W3CDTF">2020-07-31T01:21:19Z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